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eastAsia" w:ascii="黑体" w:hAnsi="黑体" w:eastAsia="黑体" w:cs="黑体"/>
          <w:spacing w:val="-1"/>
          <w:position w:val="1"/>
          <w:sz w:val="32"/>
          <w:szCs w:val="32"/>
          <w:lang w:val="en-US" w:eastAsia="zh-CN"/>
        </w:rPr>
      </w:pPr>
      <w:r>
        <w:rPr>
          <w:rFonts w:hint="eastAsia" w:ascii="黑体" w:hAnsi="黑体" w:eastAsia="黑体" w:cs="黑体"/>
          <w:spacing w:val="-1"/>
          <w:position w:val="1"/>
          <w:sz w:val="32"/>
          <w:szCs w:val="32"/>
          <w:lang w:eastAsia="zh-CN"/>
        </w:rPr>
        <w:t>附件</w:t>
      </w:r>
      <w:r>
        <w:rPr>
          <w:rFonts w:hint="eastAsia" w:ascii="黑体" w:hAnsi="黑体" w:eastAsia="黑体" w:cs="黑体"/>
          <w:spacing w:val="-1"/>
          <w:position w:val="1"/>
          <w:sz w:val="32"/>
          <w:szCs w:val="32"/>
          <w:lang w:val="en-US" w:eastAsia="zh-CN"/>
        </w:rPr>
        <w:t>1</w:t>
      </w:r>
    </w:p>
    <w:p>
      <w:pPr>
        <w:spacing w:line="590" w:lineRule="exact"/>
        <w:jc w:val="center"/>
        <w:rPr>
          <w:rFonts w:ascii="Times New Roman" w:hAnsi="Times New Roman" w:eastAsia="方正小标宋简体" w:cs="Times New Roman"/>
          <w:spacing w:val="-1"/>
          <w:position w:val="1"/>
          <w:sz w:val="44"/>
          <w:szCs w:val="44"/>
        </w:rPr>
      </w:pPr>
    </w:p>
    <w:p>
      <w:pPr>
        <w:spacing w:line="590" w:lineRule="exact"/>
        <w:jc w:val="center"/>
        <w:rPr>
          <w:rFonts w:ascii="Times New Roman" w:hAnsi="Times New Roman" w:eastAsia="方正小标宋简体" w:cs="Times New Roman"/>
          <w:spacing w:val="-1"/>
          <w:position w:val="1"/>
          <w:sz w:val="44"/>
          <w:szCs w:val="44"/>
        </w:rPr>
      </w:pPr>
      <w:bookmarkStart w:id="0" w:name="_GoBack"/>
      <w:r>
        <w:rPr>
          <w:rFonts w:ascii="Times New Roman" w:hAnsi="Times New Roman" w:eastAsia="方正小标宋简体" w:cs="Times New Roman"/>
          <w:spacing w:val="-1"/>
          <w:position w:val="1"/>
          <w:sz w:val="44"/>
          <w:szCs w:val="44"/>
        </w:rPr>
        <w:t>广东省电热暖手器产品质量监督抽查</w:t>
      </w:r>
    </w:p>
    <w:p>
      <w:pPr>
        <w:spacing w:line="590" w:lineRule="exact"/>
        <w:jc w:val="center"/>
        <w:rPr>
          <w:rFonts w:ascii="Times New Roman" w:hAnsi="Times New Roman" w:eastAsia="方正小标宋简体" w:cs="Times New Roman"/>
          <w:spacing w:val="-1"/>
          <w:position w:val="1"/>
          <w:sz w:val="44"/>
          <w:szCs w:val="44"/>
        </w:rPr>
      </w:pPr>
      <w:r>
        <w:rPr>
          <w:rFonts w:ascii="Times New Roman" w:hAnsi="Times New Roman" w:eastAsia="方正小标宋简体" w:cs="Times New Roman"/>
          <w:spacing w:val="-1"/>
          <w:position w:val="1"/>
          <w:sz w:val="44"/>
          <w:szCs w:val="44"/>
        </w:rPr>
        <w:t>实施细则</w:t>
      </w:r>
    </w:p>
    <w:bookmarkEnd w:id="0"/>
    <w:p>
      <w:pPr>
        <w:ind w:firstLine="640" w:firstLineChars="200"/>
        <w:rPr>
          <w:rFonts w:ascii="Times New Roman" w:hAnsi="Times New Roman" w:eastAsia="黑体" w:cs="Times New Roman"/>
          <w:color w:val="000000"/>
          <w:szCs w:val="32"/>
        </w:rPr>
      </w:pPr>
    </w:p>
    <w:p>
      <w:pPr>
        <w:ind w:firstLine="640" w:firstLineChars="200"/>
        <w:rPr>
          <w:rFonts w:ascii="Times New Roman" w:hAnsi="Times New Roman" w:eastAsia="黑体" w:cs="Times New Roman"/>
          <w:color w:val="000000"/>
          <w:szCs w:val="32"/>
        </w:rPr>
      </w:pPr>
      <w:r>
        <w:rPr>
          <w:rFonts w:ascii="Times New Roman" w:hAnsi="Times New Roman" w:eastAsia="黑体" w:cs="Times New Roman"/>
          <w:color w:val="000000"/>
          <w:szCs w:val="32"/>
        </w:rPr>
        <w:t>一、抽样方法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抽查数量：每款产品抽取2组样本，第1组用于检验，第2组用于备样。第一组样本需抽取样品2个，第二组样品需抽取样品1个。</w:t>
      </w:r>
    </w:p>
    <w:p>
      <w:pPr>
        <w:ind w:firstLine="640" w:firstLineChars="200"/>
        <w:rPr>
          <w:rFonts w:ascii="Times New Roman" w:hAnsi="Times New Roman" w:eastAsia="黑体" w:cs="Times New Roman"/>
          <w:color w:val="000000"/>
          <w:szCs w:val="32"/>
        </w:rPr>
      </w:pPr>
      <w:r>
        <w:rPr>
          <w:rFonts w:ascii="Times New Roman" w:hAnsi="Times New Roman" w:eastAsia="黑体" w:cs="Times New Roman"/>
          <w:color w:val="000000"/>
          <w:szCs w:val="32"/>
        </w:rPr>
        <w:t>二、主要检验项目及检验项目属性划分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1"/>
        <w:gridCol w:w="2024"/>
        <w:gridCol w:w="2019"/>
        <w:gridCol w:w="1048"/>
        <w:gridCol w:w="639"/>
        <w:gridCol w:w="898"/>
        <w:gridCol w:w="59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blHeader/>
          <w:jc w:val="center"/>
        </w:trPr>
        <w:tc>
          <w:tcPr>
            <w:tcW w:w="721" w:type="dxa"/>
            <w:noWrap w:val="0"/>
            <w:vAlign w:val="center"/>
          </w:tcPr>
          <w:p>
            <w:pPr>
              <w:adjustRightInd w:val="0"/>
              <w:snapToGrid w:val="0"/>
              <w:jc w:val="center"/>
              <w:rPr>
                <w:rFonts w:ascii="Times New Roman" w:hAnsi="Times New Roman" w:cs="Times New Roman"/>
                <w:b/>
                <w:bCs/>
                <w:sz w:val="24"/>
              </w:rPr>
            </w:pPr>
            <w:r>
              <w:rPr>
                <w:rFonts w:ascii="Times New Roman" w:hAnsi="Times New Roman" w:cs="Times New Roman"/>
                <w:b/>
                <w:bCs/>
                <w:sz w:val="24"/>
              </w:rPr>
              <w:t>序号</w:t>
            </w:r>
          </w:p>
        </w:tc>
        <w:tc>
          <w:tcPr>
            <w:tcW w:w="2024" w:type="dxa"/>
            <w:noWrap w:val="0"/>
            <w:vAlign w:val="center"/>
          </w:tcPr>
          <w:p>
            <w:pPr>
              <w:adjustRightInd w:val="0"/>
              <w:snapToGrid w:val="0"/>
              <w:jc w:val="center"/>
              <w:rPr>
                <w:rFonts w:ascii="Times New Roman" w:hAnsi="Times New Roman" w:cs="Times New Roman"/>
                <w:b/>
                <w:bCs/>
                <w:sz w:val="24"/>
              </w:rPr>
            </w:pPr>
            <w:r>
              <w:rPr>
                <w:rFonts w:ascii="Times New Roman" w:hAnsi="Times New Roman" w:cs="Times New Roman"/>
                <w:b/>
                <w:bCs/>
                <w:sz w:val="24"/>
              </w:rPr>
              <w:t>检验项目</w:t>
            </w:r>
          </w:p>
        </w:tc>
        <w:tc>
          <w:tcPr>
            <w:tcW w:w="2019" w:type="dxa"/>
            <w:noWrap w:val="0"/>
            <w:vAlign w:val="center"/>
          </w:tcPr>
          <w:p>
            <w:pPr>
              <w:adjustRightInd w:val="0"/>
              <w:snapToGrid w:val="0"/>
              <w:jc w:val="center"/>
              <w:rPr>
                <w:rFonts w:ascii="Times New Roman" w:hAnsi="Times New Roman" w:cs="Times New Roman"/>
                <w:b/>
                <w:bCs/>
                <w:sz w:val="24"/>
              </w:rPr>
            </w:pPr>
            <w:r>
              <w:rPr>
                <w:rFonts w:ascii="Times New Roman" w:hAnsi="Times New Roman" w:cs="Times New Roman"/>
                <w:b/>
                <w:bCs/>
                <w:sz w:val="24"/>
              </w:rPr>
              <w:t>检验方法</w:t>
            </w:r>
          </w:p>
        </w:tc>
        <w:tc>
          <w:tcPr>
            <w:tcW w:w="1048" w:type="dxa"/>
            <w:noWrap w:val="0"/>
            <w:vAlign w:val="center"/>
          </w:tcPr>
          <w:p>
            <w:pPr>
              <w:adjustRightInd w:val="0"/>
              <w:snapToGrid w:val="0"/>
              <w:jc w:val="center"/>
              <w:rPr>
                <w:rFonts w:ascii="Times New Roman" w:hAnsi="Times New Roman" w:cs="Times New Roman"/>
                <w:b/>
                <w:bCs/>
                <w:sz w:val="24"/>
              </w:rPr>
            </w:pPr>
            <w:r>
              <w:rPr>
                <w:rFonts w:ascii="Times New Roman" w:hAnsi="Times New Roman" w:cs="Times New Roman"/>
                <w:b/>
                <w:bCs/>
                <w:sz w:val="24"/>
              </w:rPr>
              <w:t>强制性</w:t>
            </w:r>
          </w:p>
        </w:tc>
        <w:tc>
          <w:tcPr>
            <w:tcW w:w="639" w:type="dxa"/>
            <w:noWrap w:val="0"/>
            <w:vAlign w:val="center"/>
          </w:tcPr>
          <w:p>
            <w:pPr>
              <w:adjustRightInd w:val="0"/>
              <w:snapToGrid w:val="0"/>
              <w:jc w:val="center"/>
              <w:rPr>
                <w:rFonts w:ascii="Times New Roman" w:hAnsi="Times New Roman" w:cs="Times New Roman"/>
                <w:b/>
                <w:bCs/>
                <w:sz w:val="24"/>
              </w:rPr>
            </w:pPr>
            <w:r>
              <w:rPr>
                <w:rFonts w:ascii="Times New Roman" w:hAnsi="Times New Roman" w:cs="Times New Roman"/>
                <w:b/>
                <w:bCs/>
                <w:sz w:val="24"/>
              </w:rPr>
              <w:t>非强制性</w:t>
            </w:r>
          </w:p>
        </w:tc>
        <w:tc>
          <w:tcPr>
            <w:tcW w:w="898" w:type="dxa"/>
            <w:noWrap w:val="0"/>
            <w:vAlign w:val="center"/>
          </w:tcPr>
          <w:p>
            <w:pPr>
              <w:adjustRightInd w:val="0"/>
              <w:snapToGrid w:val="0"/>
              <w:jc w:val="center"/>
              <w:rPr>
                <w:rFonts w:ascii="Times New Roman" w:hAnsi="Times New Roman" w:cs="Times New Roman"/>
                <w:b/>
                <w:bCs/>
                <w:sz w:val="24"/>
              </w:rPr>
            </w:pPr>
            <w:r>
              <w:rPr>
                <w:rFonts w:ascii="Times New Roman" w:hAnsi="Times New Roman" w:cs="Times New Roman"/>
                <w:b/>
                <w:bCs/>
                <w:sz w:val="24"/>
              </w:rPr>
              <w:t>重要项</w:t>
            </w:r>
          </w:p>
        </w:tc>
        <w:tc>
          <w:tcPr>
            <w:tcW w:w="599" w:type="dxa"/>
            <w:noWrap w:val="0"/>
            <w:vAlign w:val="center"/>
          </w:tcPr>
          <w:p>
            <w:pPr>
              <w:adjustRightInd w:val="0"/>
              <w:snapToGrid w:val="0"/>
              <w:jc w:val="center"/>
              <w:rPr>
                <w:rFonts w:ascii="Times New Roman" w:hAnsi="Times New Roman" w:cs="Times New Roman"/>
                <w:b/>
                <w:bCs/>
                <w:sz w:val="24"/>
              </w:rPr>
            </w:pPr>
            <w:r>
              <w:rPr>
                <w:rFonts w:ascii="Times New Roman" w:hAnsi="Times New Roman" w:cs="Times New Roman"/>
                <w:b/>
                <w:bCs/>
                <w:sz w:val="24"/>
              </w:rPr>
              <w:t>较重要项</w:t>
            </w:r>
          </w:p>
        </w:tc>
        <w:tc>
          <w:tcPr>
            <w:tcW w:w="900" w:type="dxa"/>
            <w:noWrap w:val="0"/>
            <w:vAlign w:val="center"/>
          </w:tcPr>
          <w:p>
            <w:pPr>
              <w:adjustRightInd w:val="0"/>
              <w:snapToGrid w:val="0"/>
              <w:jc w:val="center"/>
              <w:rPr>
                <w:rFonts w:ascii="Times New Roman" w:hAnsi="Times New Roman" w:cs="Times New Roman"/>
                <w:b/>
                <w:bCs/>
                <w:sz w:val="24"/>
              </w:rPr>
            </w:pPr>
            <w:r>
              <w:rPr>
                <w:rFonts w:ascii="Times New Roman" w:hAnsi="Times New Roman" w:cs="Times New Roman"/>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1</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对触及带电部件的防护</w:t>
            </w:r>
          </w:p>
        </w:tc>
        <w:tc>
          <w:tcPr>
            <w:tcW w:w="2019" w:type="dxa"/>
            <w:vMerge w:val="restart"/>
            <w:noWrap w:val="0"/>
            <w:vAlign w:val="center"/>
          </w:tcPr>
          <w:p>
            <w:pPr>
              <w:snapToGrid w:val="0"/>
              <w:jc w:val="center"/>
              <w:rPr>
                <w:rFonts w:ascii="Times New Roman" w:hAnsi="Times New Roman" w:cs="Times New Roman"/>
                <w:sz w:val="24"/>
              </w:rPr>
            </w:pPr>
            <w:r>
              <w:rPr>
                <w:rFonts w:ascii="Times New Roman" w:hAnsi="Times New Roman" w:cs="Times New Roman"/>
                <w:sz w:val="24"/>
              </w:rPr>
              <w:t>GB 4706.1-2005</w:t>
            </w:r>
          </w:p>
          <w:p>
            <w:pPr>
              <w:jc w:val="center"/>
              <w:rPr>
                <w:rFonts w:ascii="Times New Roman" w:hAnsi="Times New Roman" w:cs="Times New Roman"/>
                <w:sz w:val="24"/>
              </w:rPr>
            </w:pPr>
            <w:r>
              <w:rPr>
                <w:rFonts w:ascii="Times New Roman" w:hAnsi="Times New Roman" w:cs="Times New Roman"/>
                <w:sz w:val="24"/>
              </w:rPr>
              <w:t>GB 4706.99-2009</w:t>
            </w:r>
          </w:p>
        </w:tc>
        <w:tc>
          <w:tcPr>
            <w:tcW w:w="1048" w:type="dxa"/>
            <w:noWrap w:val="0"/>
            <w:vAlign w:val="center"/>
          </w:tcPr>
          <w:p>
            <w:pPr>
              <w:spacing w:before="63"/>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spacing w:before="63"/>
              <w:ind w:left="8"/>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2</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输入功率和电流</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3"/>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3"/>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3</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发热</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3"/>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3"/>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4</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工作温度下的泄漏电流和电气强度</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5"/>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5"/>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5</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非正常工作（不包括第19.11.4条的试验）</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3"/>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3"/>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6</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稳定性和机械危险</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3"/>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3"/>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7</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机械强度（不包括第21.102、21.103条的试验）</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3"/>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3"/>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8</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结构（不包括第22.46条的试验）</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3"/>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3"/>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9</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内部布线</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3"/>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3"/>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10</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元件（仅做第24.101条的试验）</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5"/>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5"/>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11</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电源连接和外部软线</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3"/>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3"/>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12</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外部导线用接线端子</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63"/>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63"/>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13</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螺钉和连接</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ind w:left="3"/>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ind w:left="7"/>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jc w:val="center"/>
        </w:trPr>
        <w:tc>
          <w:tcPr>
            <w:tcW w:w="721" w:type="dxa"/>
            <w:noWrap w:val="0"/>
            <w:vAlign w:val="center"/>
          </w:tcPr>
          <w:p>
            <w:pPr>
              <w:jc w:val="center"/>
              <w:rPr>
                <w:rFonts w:ascii="Times New Roman" w:hAnsi="Times New Roman" w:cs="Times New Roman"/>
                <w:sz w:val="24"/>
              </w:rPr>
            </w:pPr>
            <w:r>
              <w:rPr>
                <w:rFonts w:ascii="Times New Roman" w:hAnsi="Times New Roman" w:cs="Times New Roman"/>
                <w:sz w:val="24"/>
              </w:rPr>
              <w:t>14</w:t>
            </w:r>
          </w:p>
        </w:tc>
        <w:tc>
          <w:tcPr>
            <w:tcW w:w="2024" w:type="dxa"/>
            <w:noWrap w:val="0"/>
            <w:vAlign w:val="center"/>
          </w:tcPr>
          <w:p>
            <w:pPr>
              <w:jc w:val="center"/>
              <w:rPr>
                <w:rFonts w:ascii="Times New Roman" w:hAnsi="Times New Roman" w:cs="Times New Roman"/>
                <w:sz w:val="24"/>
              </w:rPr>
            </w:pPr>
            <w:r>
              <w:rPr>
                <w:rFonts w:ascii="Times New Roman" w:hAnsi="Times New Roman" w:cs="Times New Roman"/>
                <w:sz w:val="24"/>
              </w:rPr>
              <w:t>电气间隙、爬电距离和固体绝缘</w:t>
            </w:r>
          </w:p>
        </w:tc>
        <w:tc>
          <w:tcPr>
            <w:tcW w:w="2019" w:type="dxa"/>
            <w:vMerge w:val="continue"/>
            <w:noWrap w:val="0"/>
            <w:vAlign w:val="center"/>
          </w:tcPr>
          <w:p>
            <w:pPr>
              <w:jc w:val="center"/>
              <w:rPr>
                <w:rFonts w:ascii="Times New Roman" w:hAnsi="Times New Roman" w:cs="Times New Roman"/>
                <w:sz w:val="24"/>
              </w:rPr>
            </w:pPr>
          </w:p>
        </w:tc>
        <w:tc>
          <w:tcPr>
            <w:tcW w:w="1048" w:type="dxa"/>
            <w:noWrap w:val="0"/>
            <w:vAlign w:val="center"/>
          </w:tcPr>
          <w:p>
            <w:pPr>
              <w:spacing w:before="2"/>
              <w:jc w:val="center"/>
              <w:rPr>
                <w:rFonts w:ascii="Times New Roman" w:hAnsi="Times New Roman" w:cs="Times New Roman"/>
                <w:sz w:val="18"/>
                <w:szCs w:val="18"/>
              </w:rPr>
            </w:pPr>
            <w:r>
              <w:rPr>
                <w:rFonts w:ascii="Times New Roman" w:hAnsi="Times New Roman" w:cs="Times New Roman"/>
                <w:sz w:val="18"/>
                <w:szCs w:val="18"/>
              </w:rPr>
              <w:t>●</w:t>
            </w:r>
          </w:p>
        </w:tc>
        <w:tc>
          <w:tcPr>
            <w:tcW w:w="639" w:type="dxa"/>
            <w:noWrap w:val="0"/>
            <w:vAlign w:val="center"/>
          </w:tcPr>
          <w:p>
            <w:pPr>
              <w:jc w:val="center"/>
              <w:rPr>
                <w:rFonts w:ascii="Times New Roman" w:hAnsi="Times New Roman" w:cs="Times New Roman"/>
                <w:sz w:val="18"/>
                <w:szCs w:val="18"/>
              </w:rPr>
            </w:pPr>
          </w:p>
        </w:tc>
        <w:tc>
          <w:tcPr>
            <w:tcW w:w="898" w:type="dxa"/>
            <w:noWrap w:val="0"/>
            <w:vAlign w:val="center"/>
          </w:tcPr>
          <w:p>
            <w:pPr>
              <w:spacing w:before="2"/>
              <w:jc w:val="center"/>
              <w:rPr>
                <w:rFonts w:ascii="Times New Roman" w:hAnsi="Times New Roman" w:cs="Times New Roman"/>
                <w:sz w:val="18"/>
                <w:szCs w:val="18"/>
              </w:rPr>
            </w:pPr>
            <w:r>
              <w:rPr>
                <w:rFonts w:ascii="Times New Roman" w:hAnsi="Times New Roman" w:cs="Times New Roman"/>
                <w:sz w:val="18"/>
                <w:szCs w:val="18"/>
              </w:rPr>
              <w:t>●</w:t>
            </w:r>
          </w:p>
        </w:tc>
        <w:tc>
          <w:tcPr>
            <w:tcW w:w="599" w:type="dxa"/>
            <w:noWrap w:val="0"/>
            <w:vAlign w:val="center"/>
          </w:tcPr>
          <w:p>
            <w:pPr>
              <w:jc w:val="center"/>
              <w:rPr>
                <w:rFonts w:ascii="Times New Roman" w:hAnsi="Times New Roman" w:cs="Times New Roman"/>
                <w:sz w:val="18"/>
                <w:szCs w:val="18"/>
              </w:rPr>
            </w:pPr>
          </w:p>
        </w:tc>
        <w:tc>
          <w:tcPr>
            <w:tcW w:w="900" w:type="dxa"/>
            <w:noWrap w:val="0"/>
            <w:vAlign w:val="center"/>
          </w:tcPr>
          <w:p>
            <w:pPr>
              <w:jc w:val="center"/>
              <w:rPr>
                <w:rFonts w:ascii="Times New Roman" w:hAnsi="Times New Roman" w:cs="Times New Roman"/>
                <w:sz w:val="18"/>
                <w:szCs w:val="18"/>
              </w:rPr>
            </w:pPr>
          </w:p>
        </w:tc>
      </w:tr>
    </w:tbl>
    <w:p>
      <w:pPr>
        <w:adjustRightInd w:val="0"/>
        <w:snapToGrid w:val="0"/>
        <w:ind w:firstLine="480" w:firstLineChars="200"/>
        <w:jc w:val="left"/>
        <w:rPr>
          <w:rFonts w:ascii="Times New Roman" w:hAnsi="Times New Roman" w:eastAsia="仿宋" w:cs="Times New Roman"/>
          <w:color w:val="000000"/>
          <w:sz w:val="24"/>
        </w:rPr>
      </w:pPr>
      <w:r>
        <w:rPr>
          <w:rFonts w:ascii="Times New Roman" w:hAnsi="Times New Roman" w:eastAsia="仿宋" w:cs="Times New Roman"/>
          <w:color w:val="000000"/>
          <w:sz w:val="24"/>
        </w:rPr>
        <w:t>注：执行企业标准、团体标准、地方标准的产品，检验项目参照上述内容执行。</w:t>
      </w:r>
    </w:p>
    <w:p>
      <w:pPr>
        <w:adjustRightInd w:val="0"/>
        <w:snapToGrid w:val="0"/>
        <w:ind w:firstLine="480" w:firstLineChars="200"/>
        <w:jc w:val="left"/>
        <w:rPr>
          <w:rFonts w:ascii="Times New Roman" w:hAnsi="Times New Roman" w:eastAsia="仿宋" w:cs="Times New Roman"/>
          <w:color w:val="000000"/>
          <w:sz w:val="24"/>
        </w:rPr>
      </w:pPr>
      <w:r>
        <w:rPr>
          <w:rFonts w:ascii="Times New Roman" w:hAnsi="Times New Roman" w:eastAsia="仿宋" w:cs="Times New Roman"/>
          <w:color w:val="000000"/>
          <w:sz w:val="24"/>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三、判定规则</w:t>
      </w:r>
    </w:p>
    <w:p>
      <w:pPr>
        <w:pStyle w:val="5"/>
        <w:keepNext w:val="0"/>
        <w:keepLines w:val="0"/>
        <w:pageBreakBefore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（一）依据标准</w:t>
      </w:r>
    </w:p>
    <w:p>
      <w:pPr>
        <w:pStyle w:val="5"/>
        <w:keepNext w:val="0"/>
        <w:keepLines w:val="0"/>
        <w:pageBreakBefore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GB 4706.1-2005《家用和类似用途电器的安全 第1部分：通用要求》</w:t>
      </w:r>
    </w:p>
    <w:p>
      <w:pPr>
        <w:pStyle w:val="5"/>
        <w:keepNext w:val="0"/>
        <w:keepLines w:val="0"/>
        <w:pageBreakBefore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GB 4706.99-2009《家用和类似用途电器的安全 储热式电热暖手器的特殊要求》</w:t>
      </w:r>
    </w:p>
    <w:p>
      <w:pPr>
        <w:pStyle w:val="5"/>
        <w:keepNext w:val="0"/>
        <w:keepLines w:val="0"/>
        <w:pageBreakBefore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现行有效的企业标准、团体标准、地方标准及产品明示质量要求。</w:t>
      </w:r>
    </w:p>
    <w:p>
      <w:pPr>
        <w:keepNext w:val="0"/>
        <w:keepLines w:val="0"/>
        <w:pageBreakBefore w:val="0"/>
        <w:widowControl/>
        <w:kinsoku/>
        <w:wordWrap/>
        <w:overflowPunct/>
        <w:topLinePunct w:val="0"/>
        <w:bidi w:val="0"/>
        <w:adjustRightInd/>
        <w:spacing w:line="560" w:lineRule="exact"/>
        <w:ind w:firstLine="640" w:firstLineChars="200"/>
        <w:textAlignment w:val="auto"/>
        <w:rPr>
          <w:rFonts w:ascii="Times New Roman" w:hAnsi="Times New Roman" w:eastAsia="楷体_GB2312" w:cs="Times New Roman"/>
          <w:bCs/>
          <w:kern w:val="0"/>
          <w:sz w:val="32"/>
          <w:szCs w:val="32"/>
        </w:rPr>
      </w:pPr>
      <w:r>
        <w:rPr>
          <w:rFonts w:ascii="Times New Roman" w:hAnsi="Times New Roman" w:eastAsia="楷体_GB2312" w:cs="Times New Roman"/>
          <w:bCs/>
          <w:kern w:val="0"/>
          <w:sz w:val="32"/>
          <w:szCs w:val="32"/>
        </w:rPr>
        <w:t>（二）判定原则</w:t>
      </w:r>
    </w:p>
    <w:p>
      <w:pPr>
        <w:keepNext w:val="0"/>
        <w:keepLines w:val="0"/>
        <w:pageBreakBefore w:val="0"/>
        <w:kinsoku/>
        <w:wordWrap/>
        <w:overflowPunct/>
        <w:topLinePunct w:val="0"/>
        <w:bidi w:val="0"/>
        <w:adjustRightInd/>
        <w:snapToGrid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pStyle w:val="5"/>
        <w:keepNext w:val="0"/>
        <w:keepLines w:val="0"/>
        <w:pageBreakBefore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当被检样品明示的质量要求优于监督抽查实施细则中依据的标准要求时，应按被检样品明示的质量要求判定；</w:t>
      </w:r>
    </w:p>
    <w:p>
      <w:pPr>
        <w:pStyle w:val="5"/>
        <w:keepNext w:val="0"/>
        <w:keepLines w:val="0"/>
        <w:pageBreakBefore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当被检样品明示的质量要求劣于或不包含监督抽查实施细则中依据的强制性标准要求时，应按照强制性标准要求判定；</w:t>
      </w:r>
    </w:p>
    <w:p>
      <w:pPr>
        <w:pStyle w:val="5"/>
        <w:keepNext w:val="0"/>
        <w:keepLines w:val="0"/>
        <w:pageBreakBefore w:val="0"/>
        <w:widowControl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5"/>
        <w:keepNext w:val="0"/>
        <w:keepLines w:val="0"/>
        <w:pageBreakBefore w:val="0"/>
        <w:widowControl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当被检样品明示的质量要求不包含监督抽查实施细则中依据的推荐性标准要求时，该指标不参与判定，但应在检验报告中作出说明；</w:t>
      </w:r>
    </w:p>
    <w:p>
      <w:pPr>
        <w:pStyle w:val="5"/>
        <w:keepNext w:val="0"/>
        <w:keepLines w:val="0"/>
        <w:pageBreakBefore w:val="0"/>
        <w:widowControl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当被检样品未能提供有效的企业标准时，按相关国家或行业标准进行判定；</w:t>
      </w:r>
    </w:p>
    <w:p>
      <w:pPr>
        <w:pStyle w:val="5"/>
        <w:keepNext w:val="0"/>
        <w:keepLines w:val="0"/>
        <w:pageBreakBefore w:val="0"/>
        <w:widowControl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5"/>
        <w:keepNext w:val="0"/>
        <w:keepLines w:val="0"/>
        <w:pageBreakBefore w:val="0"/>
        <w:widowControl w:val="0"/>
        <w:tabs>
          <w:tab w:val="clear" w:pos="4201"/>
          <w:tab w:val="clear" w:pos="9298"/>
        </w:tabs>
        <w:kinsoku/>
        <w:wordWrap/>
        <w:overflowPunct/>
        <w:topLinePunct w:val="0"/>
        <w:bidi w:val="0"/>
        <w:adjustRightIn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按照产品质量相关法律法规的规定判定。</w:t>
      </w:r>
    </w:p>
    <w:p>
      <w:pPr>
        <w:keepNext w:val="0"/>
        <w:keepLines w:val="0"/>
        <w:pageBreakBefore w:val="0"/>
        <w:kinsoku/>
        <w:wordWrap/>
        <w:overflowPunct/>
        <w:topLinePunct w:val="0"/>
        <w:bidi w:val="0"/>
        <w:adjustRightInd/>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36E1C"/>
    <w:rsid w:val="6283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next w:val="1"/>
    <w:qFormat/>
    <w:uiPriority w:val="0"/>
    <w:pPr>
      <w:widowControl w:val="0"/>
      <w:jc w:val="both"/>
    </w:pPr>
    <w:rPr>
      <w:rFonts w:ascii="宋体" w:hAnsi="Courier New" w:eastAsia="宋体" w:cs="宋体"/>
      <w:kern w:val="2"/>
      <w:sz w:val="21"/>
      <w:szCs w:val="21"/>
      <w:lang w:val="en-US" w:eastAsia="zh-CN" w:bidi="ar-SA"/>
    </w:r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省市场监督管理局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2024-01-26T01:41:00Z</dcterms:created>
  <dc:creator>胡翌婧</dc:creator>
  <cp:lastModifiedBy>胡翌婧</cp:lastModifiedBy>
  <dcterms:modified xsi:type="dcterms:W3CDTF">2024-01-26T01:42:13Z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5435A3A7187342DA8D6012DBE56B6A5B</vt:lpwstr>
  </property>
</Properties>
</file>