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方正仿宋简体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仿宋简体"/>
          <w:color w:val="000000"/>
          <w:sz w:val="44"/>
          <w:szCs w:val="44"/>
          <w:highlight w:val="none"/>
        </w:rPr>
        <w:t>广东省危险化学品罐体产品质量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方正仿宋简体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仿宋简体"/>
          <w:color w:val="000000"/>
          <w:sz w:val="44"/>
          <w:szCs w:val="44"/>
          <w:highlight w:val="none"/>
        </w:rPr>
        <w:t>监督抽查实施细则</w:t>
      </w:r>
    </w:p>
    <w:bookmarkEnd w:id="0"/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仿宋简体"/>
          <w:color w:val="000000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szCs w:val="21"/>
          <w:highlight w:val="none"/>
        </w:rPr>
        <w:t>一、抽样方法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Cs w:val="32"/>
          <w:highlight w:val="none"/>
        </w:rPr>
        <w:t>以随机抽样的方式在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  <w:highlight w:val="none"/>
          <w:lang w:val="en-US" w:eastAsia="zh-CN"/>
        </w:rPr>
        <w:t>生产企业</w:t>
      </w:r>
      <w:r>
        <w:rPr>
          <w:rFonts w:ascii="Times New Roman" w:hAnsi="Times New Roman" w:eastAsia="仿宋_GB2312" w:cs="Times New Roman"/>
          <w:color w:val="000000"/>
          <w:kern w:val="0"/>
          <w:szCs w:val="32"/>
          <w:highlight w:val="none"/>
        </w:rPr>
        <w:t>产品</w:t>
      </w:r>
      <w:r>
        <w:rPr>
          <w:rFonts w:hint="eastAsia" w:ascii="Times New Roman" w:hAnsi="Times New Roman" w:eastAsia="仿宋_GB2312" w:cs="Times New Roman"/>
          <w:color w:val="000000"/>
          <w:kern w:val="0"/>
          <w:szCs w:val="32"/>
          <w:highlight w:val="none"/>
          <w:lang w:val="en-US" w:eastAsia="zh-CN"/>
        </w:rPr>
        <w:t>成品库</w:t>
      </w:r>
      <w:r>
        <w:rPr>
          <w:rFonts w:ascii="Times New Roman" w:hAnsi="Times New Roman" w:eastAsia="仿宋_GB2312" w:cs="Times New Roman"/>
          <w:color w:val="000000"/>
          <w:kern w:val="0"/>
          <w:szCs w:val="32"/>
          <w:highlight w:val="none"/>
        </w:rPr>
        <w:t>中抽取。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随机数一般可使用随机数表等方法产生。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</w:rPr>
        <w:t>抽查数量：每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  <w:lang w:val="en-US" w:eastAsia="zh-CN"/>
        </w:rPr>
        <w:t>种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</w:rPr>
        <w:t>产品抽取2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  <w:lang w:val="en-US" w:eastAsia="zh-CN"/>
        </w:rPr>
        <w:t>个罐体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</w:rPr>
        <w:t>样本，第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  <w:lang w:val="en-US" w:eastAsia="zh-CN"/>
        </w:rPr>
        <w:t>1个罐体样品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</w:rPr>
        <w:t>用于检验，第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  <w:lang w:val="en-US" w:eastAsia="zh-CN"/>
        </w:rPr>
        <w:t>2个罐体样品</w:t>
      </w:r>
      <w:r>
        <w:rPr>
          <w:rFonts w:hint="eastAsia" w:ascii="Times New Roman" w:hAnsi="Times New Roman" w:eastAsia="仿宋_GB2312" w:cs="Times New Roman"/>
          <w:color w:val="000000"/>
          <w:szCs w:val="32"/>
          <w:highlight w:val="none"/>
        </w:rPr>
        <w:t>用于备样。具体抽样数量如下：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895"/>
        <w:gridCol w:w="283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highlight w:val="none"/>
              </w:rPr>
              <w:t>产品种类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highlight w:val="none"/>
              </w:rPr>
              <w:t>产品名称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1"/>
                <w:szCs w:val="21"/>
                <w:highlight w:val="none"/>
              </w:rPr>
              <w:t>抽样数量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罐体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车载钢罐体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车载铝罐体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储存用钢罐体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储存用玻璃钢罐体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储存用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塑料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罐体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szCs w:val="21"/>
          <w:highlight w:val="none"/>
        </w:rPr>
        <w:t>二、主要检验项目及检验项目属性划分</w:t>
      </w:r>
    </w:p>
    <w:p>
      <w:pPr>
        <w:snapToGrid w:val="0"/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zCs w:val="21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Cs w:val="21"/>
        </w:rPr>
        <w:t>车载钢罐体、车载铝罐体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635"/>
        <w:gridCol w:w="2325"/>
        <w:gridCol w:w="870"/>
        <w:gridCol w:w="765"/>
        <w:gridCol w:w="875"/>
        <w:gridCol w:w="75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检验项目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检验方法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强制性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非强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制性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重要项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较重要项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次要项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资料检查</w:t>
            </w:r>
          </w:p>
        </w:tc>
        <w:tc>
          <w:tcPr>
            <w:tcW w:w="2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GB18564.1-20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19《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道路运输液体危险货物罐式车辆  第1部分:金属常压罐体技术要求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NB/T47013-201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5《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承压设备无损检测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》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外观检验</w:t>
            </w: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结构检验</w:t>
            </w: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几何尺寸检验</w:t>
            </w: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导静电检验</w:t>
            </w: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安全附件</w:t>
            </w: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无损检测</w:t>
            </w: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试验</w:t>
            </w:r>
          </w:p>
        </w:tc>
        <w:tc>
          <w:tcPr>
            <w:tcW w:w="2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Cs w:val="21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Cs w:val="21"/>
          <w:highlight w:val="none"/>
          <w:lang w:eastAsia="zh-CN"/>
        </w:rPr>
        <w:t>（二）储存用钢罐体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</w:pPr>
    </w:p>
    <w:tbl>
      <w:tblPr>
        <w:tblStyle w:val="3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545"/>
        <w:gridCol w:w="2025"/>
        <w:gridCol w:w="900"/>
        <w:gridCol w:w="850"/>
        <w:gridCol w:w="888"/>
        <w:gridCol w:w="912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检验项目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检验方法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强制性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非强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制性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重要项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较重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要项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次要项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资料检查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50" w:beforeAutospacing="0" w:after="150" w:afterAutospacing="0" w:line="400" w:lineRule="exact"/>
              <w:ind w:leftChars="0" w:right="250" w:rightChars="0"/>
              <w:jc w:val="both"/>
              <w:textAlignment w:val="auto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kern w:val="44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NB/T47003.1-2009《钢制焊接常压容器 》（适用于2023年5月4日前制造的罐体）；NB/T47003.1-2022《钢制焊接常压容器 》（适用于2023年5月4日后制造的罐体）；NB/T47013-2015《承压设备无损检测》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外观检验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结构检验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几何尺寸检验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附件检验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无损检测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试验</w:t>
            </w: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Cs w:val="21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Cs w:val="21"/>
          <w:highlight w:val="none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color w:val="000000"/>
          <w:szCs w:val="21"/>
          <w:highlight w:val="none"/>
          <w:lang w:eastAsia="zh-CN"/>
        </w:rPr>
        <w:t>储存用</w:t>
      </w:r>
      <w:r>
        <w:rPr>
          <w:rFonts w:hint="eastAsia" w:ascii="楷体_GB2312" w:hAnsi="楷体_GB2312" w:eastAsia="楷体_GB2312" w:cs="楷体_GB2312"/>
          <w:color w:val="000000"/>
          <w:szCs w:val="21"/>
          <w:highlight w:val="none"/>
          <w:lang w:val="en-US" w:eastAsia="zh-CN"/>
        </w:rPr>
        <w:t>玻璃</w:t>
      </w:r>
      <w:r>
        <w:rPr>
          <w:rFonts w:hint="eastAsia" w:ascii="楷体_GB2312" w:hAnsi="楷体_GB2312" w:eastAsia="楷体_GB2312" w:cs="楷体_GB2312"/>
          <w:color w:val="000000"/>
          <w:szCs w:val="21"/>
          <w:highlight w:val="none"/>
          <w:lang w:eastAsia="zh-CN"/>
        </w:rPr>
        <w:t>钢罐体</w:t>
      </w:r>
    </w:p>
    <w:tbl>
      <w:tblPr>
        <w:tblStyle w:val="3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680"/>
        <w:gridCol w:w="2460"/>
        <w:gridCol w:w="924"/>
        <w:gridCol w:w="894"/>
        <w:gridCol w:w="897"/>
        <w:gridCol w:w="723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tblHeader/>
          <w:jc w:val="center"/>
        </w:trPr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检验项目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检验方法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强制性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非强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制性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重要项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较重要项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次要项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资料检查</w:t>
            </w:r>
          </w:p>
        </w:tc>
        <w:tc>
          <w:tcPr>
            <w:tcW w:w="24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Chars="0" w:right="0" w:rightChars="0"/>
              <w:jc w:val="left"/>
              <w:textAlignment w:val="auto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HG/T 20696-2018《纤维增强塑料化工设备技术规范》；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Chars="0" w:right="0" w:rightChars="0"/>
              <w:jc w:val="left"/>
              <w:textAlignment w:val="auto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NB/T47013-2015《承压设备无损检测》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Chars="0" w:right="0" w:rightChars="0"/>
              <w:jc w:val="left"/>
              <w:textAlignment w:val="auto"/>
              <w:outlineLvl w:val="0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GB/T 3854-2017《增强塑料巴柯尔硬度试验方法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》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外观检验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结构检验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几何尺寸检验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附件检查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硬度检测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试验</w:t>
            </w:r>
          </w:p>
        </w:tc>
        <w:tc>
          <w:tcPr>
            <w:tcW w:w="24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（四）储存用塑料罐体</w:t>
      </w:r>
    </w:p>
    <w:tbl>
      <w:tblPr>
        <w:tblStyle w:val="3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749"/>
        <w:gridCol w:w="1975"/>
        <w:gridCol w:w="865"/>
        <w:gridCol w:w="772"/>
        <w:gridCol w:w="888"/>
        <w:gridCol w:w="912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检验项目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检验方法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强制性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非强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制性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重要项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较重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要项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000000"/>
                <w:sz w:val="21"/>
                <w:szCs w:val="21"/>
                <w:highlight w:val="none"/>
              </w:rPr>
              <w:t>次要项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资料检查</w:t>
            </w: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HG20640-1997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塑料设备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》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NB/T47013-2015《承压设备无损检测》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外观质量检验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结构检验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几何尺寸检验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附件检查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试验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●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ascii="Times New Roman" w:hAnsi="Times New Roman" w:eastAsia="黑体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szCs w:val="21"/>
          <w:highlight w:val="none"/>
        </w:rPr>
        <w:t xml:space="preserve">    三、</w:t>
      </w:r>
      <w:r>
        <w:rPr>
          <w:rFonts w:ascii="Times New Roman" w:hAnsi="Times New Roman" w:eastAsia="黑体" w:cs="Times New Roman"/>
          <w:color w:val="000000"/>
          <w:szCs w:val="21"/>
          <w:highlight w:val="none"/>
        </w:rPr>
        <w:t>判定规则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000000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000000"/>
          <w:szCs w:val="32"/>
          <w:highlight w:val="none"/>
        </w:rPr>
        <w:t>（一）依据标准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highlight w:val="none"/>
        </w:rPr>
      </w:pPr>
      <w:r>
        <w:rPr>
          <w:rFonts w:hint="eastAsia" w:ascii="Times New Roman" w:hAnsi="Times New Roman" w:eastAsia="楷体_GB2312" w:cs="楷体_GB2312"/>
          <w:color w:val="000000"/>
          <w:szCs w:val="32"/>
          <w:highlight w:val="none"/>
          <w:lang w:val="en-US" w:eastAsia="zh-CN"/>
        </w:rPr>
        <w:t>1．</w:t>
      </w:r>
      <w:r>
        <w:rPr>
          <w:rFonts w:hint="eastAsia" w:ascii="Times New Roman" w:hAnsi="Times New Roman" w:eastAsia="仿宋_GB2312" w:cs="Times New Roman"/>
          <w:color w:val="000000"/>
          <w:highlight w:val="none"/>
        </w:rPr>
        <w:t>强制性标准</w:t>
      </w:r>
      <w:r>
        <w:rPr>
          <w:rFonts w:hint="eastAsia" w:cs="Times New Roman"/>
          <w:color w:val="000000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547" w:firstLineChars="171"/>
        <w:textAlignment w:val="auto"/>
        <w:rPr>
          <w:rFonts w:hint="eastAsia" w:cs="Times New Roman"/>
          <w:color w:val="000000"/>
          <w:szCs w:val="21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GB 18564.1-2019</w:t>
      </w:r>
      <w:r>
        <w:rPr>
          <w:rFonts w:hint="eastAsia" w:cs="Times New Roman"/>
          <w:color w:val="000000"/>
          <w:szCs w:val="21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道路运输液体危险货物罐式车辆 第1部分：金属常压罐体技术要求</w:t>
      </w:r>
      <w:r>
        <w:rPr>
          <w:rFonts w:hint="eastAsia" w:cs="Times New Roman"/>
          <w:color w:val="000000"/>
          <w:szCs w:val="21"/>
          <w:highlight w:val="none"/>
          <w:lang w:eastAsia="zh-CN"/>
        </w:rPr>
        <w:t>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547" w:firstLineChars="171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44"/>
          <w:highlight w:val="none"/>
          <w:lang w:val="en-US" w:eastAsia="zh-CN" w:bidi="ar-SA"/>
        </w:rPr>
      </w:pPr>
      <w:r>
        <w:rPr>
          <w:rFonts w:hint="eastAsia" w:cs="Times New Roman"/>
          <w:color w:val="000000"/>
          <w:szCs w:val="21"/>
          <w:highlight w:val="none"/>
          <w:lang w:val="en-US" w:eastAsia="zh-CN"/>
        </w:rPr>
        <w:t>2．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44"/>
          <w:highlight w:val="none"/>
          <w:lang w:val="en-US" w:eastAsia="zh-CN" w:bidi="ar-SA"/>
        </w:rPr>
        <w:t>推荐性标准</w:t>
      </w:r>
      <w:r>
        <w:rPr>
          <w:rFonts w:hint="eastAsia" w:cs="Times New Roman"/>
          <w:bCs/>
          <w:color w:val="000000"/>
          <w:kern w:val="2"/>
          <w:sz w:val="32"/>
          <w:szCs w:val="44"/>
          <w:highlight w:val="none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526" w:firstLineChars="171"/>
        <w:textAlignment w:val="auto"/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1"/>
          <w:highlight w:val="none"/>
        </w:rPr>
        <w:t>NB/T 47003.1-20</w:t>
      </w:r>
      <w:r>
        <w:rPr>
          <w:rFonts w:hint="eastAsia" w:cs="Times New Roman"/>
          <w:color w:val="000000"/>
          <w:spacing w:val="-6"/>
          <w:sz w:val="32"/>
          <w:szCs w:val="21"/>
          <w:highlight w:val="none"/>
          <w:lang w:val="en-US" w:eastAsia="zh-CN"/>
        </w:rPr>
        <w:t>09《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1"/>
          <w:highlight w:val="none"/>
        </w:rPr>
        <w:t>钢制焊接常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21"/>
          <w:highlight w:val="none"/>
        </w:rPr>
        <w:t>压容器</w:t>
      </w:r>
      <w:r>
        <w:rPr>
          <w:rFonts w:hint="eastAsia" w:cs="Times New Roman"/>
          <w:color w:val="000000"/>
          <w:spacing w:val="0"/>
          <w:sz w:val="32"/>
          <w:szCs w:val="21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21"/>
          <w:highlight w:val="none"/>
          <w:lang w:val="en-US" w:eastAsia="zh-CN"/>
        </w:rPr>
        <w:t>（适用于2023年5月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4日前制造的罐体）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526" w:firstLineChars="171"/>
        <w:textAlignment w:val="auto"/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1"/>
          <w:highlight w:val="none"/>
        </w:rPr>
        <w:t>NB/T 47003.1-20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1"/>
          <w:highlight w:val="none"/>
          <w:lang w:val="en-US" w:eastAsia="zh-CN"/>
        </w:rPr>
        <w:t>22</w:t>
      </w:r>
      <w:r>
        <w:rPr>
          <w:rFonts w:hint="eastAsia" w:cs="Times New Roman"/>
          <w:color w:val="000000"/>
          <w:spacing w:val="-6"/>
          <w:sz w:val="32"/>
          <w:szCs w:val="21"/>
          <w:highlight w:val="none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1"/>
          <w:highlight w:val="none"/>
        </w:rPr>
        <w:t>钢制焊接常压容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21"/>
          <w:highlight w:val="none"/>
        </w:rPr>
        <w:t>器</w:t>
      </w:r>
      <w:r>
        <w:rPr>
          <w:rFonts w:hint="eastAsia" w:cs="Times New Roman"/>
          <w:color w:val="000000"/>
          <w:spacing w:val="0"/>
          <w:sz w:val="32"/>
          <w:szCs w:val="21"/>
          <w:highlight w:val="none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21"/>
          <w:highlight w:val="none"/>
          <w:lang w:val="en-US" w:eastAsia="zh-CN"/>
        </w:rPr>
        <w:t>（适用于2023年5月4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日后制造的罐体）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Cs w:val="24"/>
        </w:rPr>
        <w:t>HG/T 20696-</w:t>
      </w:r>
      <w:r>
        <w:rPr>
          <w:rFonts w:hint="eastAsia" w:ascii="Times New Roman" w:hAnsi="Times New Roman" w:eastAsia="仿宋_GB2312" w:cs="Times New Roman"/>
          <w:color w:val="000000"/>
          <w:szCs w:val="24"/>
          <w:lang w:val="en-US" w:eastAsia="zh-CN"/>
        </w:rPr>
        <w:t>2018</w:t>
      </w:r>
      <w:r>
        <w:rPr>
          <w:rFonts w:hint="eastAsia" w:cs="Times New Roman"/>
          <w:color w:val="000000"/>
          <w:szCs w:val="24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000000"/>
          <w:szCs w:val="24"/>
        </w:rPr>
        <w:t>玻璃钢化工设备设计规定</w:t>
      </w:r>
      <w:r>
        <w:rPr>
          <w:rFonts w:hint="eastAsia" w:cs="Times New Roman"/>
          <w:color w:val="000000"/>
          <w:szCs w:val="24"/>
          <w:lang w:eastAsia="zh-CN"/>
        </w:rPr>
        <w:t>》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Cs w:val="24"/>
        </w:rPr>
      </w:pPr>
      <w:r>
        <w:rPr>
          <w:rFonts w:ascii="Times New Roman" w:hAnsi="Times New Roman" w:eastAsia="仿宋_GB2312" w:cs="宋体"/>
          <w:color w:val="000000"/>
          <w:szCs w:val="21"/>
        </w:rPr>
        <w:t>HG</w:t>
      </w:r>
      <w:r>
        <w:rPr>
          <w:rFonts w:hint="eastAsia" w:ascii="Times New Roman" w:hAnsi="Times New Roman" w:eastAsia="仿宋_GB2312" w:cs="宋体"/>
          <w:color w:val="000000"/>
          <w:szCs w:val="21"/>
          <w:lang w:val="en-US" w:eastAsia="zh-CN"/>
        </w:rPr>
        <w:t xml:space="preserve"> </w:t>
      </w:r>
      <w:r>
        <w:rPr>
          <w:rFonts w:ascii="Times New Roman" w:hAnsi="Times New Roman" w:eastAsia="仿宋_GB2312" w:cs="宋体"/>
          <w:color w:val="000000"/>
          <w:szCs w:val="21"/>
        </w:rPr>
        <w:t>20640-1997</w:t>
      </w:r>
      <w:r>
        <w:rPr>
          <w:rFonts w:hint="eastAsia" w:cs="Times New Roman"/>
          <w:color w:val="000000"/>
          <w:szCs w:val="24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000000"/>
          <w:szCs w:val="21"/>
        </w:rPr>
        <w:t>塑料设备</w:t>
      </w:r>
      <w:r>
        <w:rPr>
          <w:rFonts w:hint="eastAsia" w:cs="Times New Roman"/>
          <w:color w:val="000000"/>
          <w:szCs w:val="21"/>
          <w:highlight w:val="none"/>
          <w:lang w:val="en-US" w:eastAsia="zh-CN"/>
        </w:rPr>
        <w:t>》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Cs w:val="21"/>
          <w:highlight w:val="none"/>
        </w:rPr>
      </w:pPr>
      <w:r>
        <w:rPr>
          <w:rFonts w:ascii="Times New Roman" w:hAnsi="Times New Roman" w:eastAsia="仿宋_GB2312" w:cs="宋体"/>
          <w:color w:val="000000"/>
          <w:szCs w:val="24"/>
        </w:rPr>
        <w:t>NB/T 47013</w:t>
      </w:r>
      <w:r>
        <w:rPr>
          <w:rFonts w:hint="eastAsia" w:ascii="Times New Roman" w:hAnsi="Times New Roman" w:eastAsia="仿宋_GB2312" w:cs="宋体"/>
          <w:color w:val="000000"/>
          <w:szCs w:val="24"/>
        </w:rPr>
        <w:t>-2015</w:t>
      </w:r>
      <w:r>
        <w:rPr>
          <w:rFonts w:hint="eastAsia" w:cs="Times New Roman"/>
          <w:color w:val="000000"/>
          <w:szCs w:val="24"/>
          <w:lang w:eastAsia="zh-CN"/>
        </w:rPr>
        <w:t>《</w:t>
      </w:r>
      <w:r>
        <w:rPr>
          <w:rFonts w:hint="eastAsia" w:ascii="Times New Roman" w:hAnsi="Times New Roman" w:eastAsia="仿宋_GB2312" w:cs="宋体"/>
          <w:color w:val="000000"/>
          <w:szCs w:val="24"/>
        </w:rPr>
        <w:t>承压设备无损检测</w:t>
      </w:r>
      <w:r>
        <w:rPr>
          <w:rFonts w:hint="eastAsia" w:cs="Times New Roman"/>
          <w:color w:val="000000"/>
          <w:szCs w:val="21"/>
          <w:highlight w:val="none"/>
          <w:lang w:val="en-US" w:eastAsia="zh-CN"/>
        </w:rPr>
        <w:t>》</w:t>
      </w:r>
    </w:p>
    <w:p>
      <w:pPr>
        <w:widowControl/>
        <w:autoSpaceDN w:val="0"/>
        <w:spacing w:line="520" w:lineRule="exact"/>
        <w:ind w:firstLine="641"/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现行有效的企业标准、团体标准、地方标准及产品明示质量要求。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ascii="Times New Roman" w:hAnsi="Times New Roman" w:eastAsia="楷体_GB2312" w:cs="楷体_GB2312"/>
          <w:color w:val="000000"/>
          <w:szCs w:val="32"/>
          <w:highlight w:val="none"/>
        </w:rPr>
      </w:pPr>
      <w:r>
        <w:rPr>
          <w:rFonts w:hint="eastAsia" w:ascii="Times New Roman" w:hAnsi="Times New Roman" w:eastAsia="楷体_GB2312" w:cs="楷体_GB2312"/>
          <w:color w:val="000000"/>
          <w:szCs w:val="32"/>
          <w:highlight w:val="none"/>
        </w:rPr>
        <w:t>（二）判定原则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经检验，</w:t>
      </w:r>
      <w:r>
        <w:rPr>
          <w:rFonts w:hint="eastAsia" w:ascii="Times New Roman" w:hAnsi="Times New Roman" w:eastAsia="仿宋_GB2312" w:cs="Times New Roman"/>
          <w:color w:val="000000"/>
          <w:szCs w:val="24"/>
        </w:rPr>
        <w:t>检验项目出现任一项不合格，被抽查产品判定为不合格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；</w:t>
      </w:r>
      <w:r>
        <w:rPr>
          <w:rFonts w:hint="eastAsia" w:ascii="Times New Roman" w:hAnsi="Times New Roman" w:eastAsia="仿宋_GB2312" w:cs="Times New Roman"/>
          <w:color w:val="000000"/>
          <w:szCs w:val="24"/>
        </w:rPr>
        <w:t>检验所有检验项目全部合格，被抽查产品判定为合格。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当被检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eastAsia="zh-CN"/>
        </w:rPr>
        <w:t>罐体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明示的质量要求优于监督抽查实施细则中依据的标准要求时，应按被检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eastAsia="zh-CN"/>
        </w:rPr>
        <w:t>罐体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明示的质量要求判定；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当被检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eastAsia="zh-CN"/>
        </w:rPr>
        <w:t>罐体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明示的质量要求劣于监督抽查实施细则中依据的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相关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标准要求时，应按照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实施细则相关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标准要求判定；如相应检验结果不符合相关标准要求时，应在检验报告中予以说明；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按照产品质量相关法律法规的规定判定。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0" w:lineRule="exact"/>
        <w:ind w:firstLine="636" w:firstLineChars="199"/>
        <w:textAlignment w:val="auto"/>
        <w:rPr>
          <w:rFonts w:ascii="Times New Roman" w:hAnsi="Times New Roman" w:eastAsia="仿宋_GB2312" w:cs="Times New Roman"/>
          <w:color w:val="000000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检验中因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生产企业没有库存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eastAsia="zh-CN"/>
        </w:rPr>
        <w:t>罐体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或者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工厂停产等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原因致使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  <w:lang w:val="en-US" w:eastAsia="zh-CN"/>
        </w:rPr>
        <w:t>监督抽查检验</w:t>
      </w:r>
      <w:r>
        <w:rPr>
          <w:rFonts w:hint="eastAsia" w:ascii="Times New Roman" w:hAnsi="Times New Roman" w:eastAsia="仿宋_GB2312" w:cs="Times New Roman"/>
          <w:color w:val="000000"/>
          <w:szCs w:val="21"/>
          <w:highlight w:val="none"/>
        </w:rPr>
        <w:t>无法进行的，检验人员应如实记录，并提供相关证明材料，报送组织监督抽查的市场监管部门。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cs="仿宋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99" w:rightChars="406" w:firstLine="640" w:firstLineChars="200"/>
        <w:jc w:val="center"/>
        <w:textAlignment w:val="auto"/>
        <w:outlineLvl w:val="9"/>
        <w:rPr>
          <w:rFonts w:hint="eastAsia" w:ascii="Times New Roman" w:hAnsi="Times New Roman"/>
          <w:color w:val="000000"/>
          <w:szCs w:val="30"/>
        </w:rPr>
      </w:pPr>
      <w:r>
        <w:rPr>
          <w:rFonts w:hint="eastAsia" w:ascii="Times New Roman" w:hAnsi="Times New Roman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4FA82F8B"/>
    <w:rsid w:val="4FA82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600" w:lineRule="exact"/>
      <w:outlineLvl w:val="2"/>
    </w:pPr>
    <w:rPr>
      <w:rFonts w:eastAsia="楷体_GB2312"/>
      <w:b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2023-10-07T03:12:00Z</dcterms:created>
  <dc:creator>胡翌婧</dc:creator>
  <cp:lastModifiedBy>胡翌婧</cp:lastModifiedBy>
  <dcterms:modified xsi:type="dcterms:W3CDTF">2023-10-07T03:14:27Z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96C24A70B85B45908CD6819F40B32533_11</vt:lpwstr>
  </property>
</Properties>
</file>