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附件</w:t>
      </w:r>
    </w:p>
    <w:p>
      <w:pPr>
        <w:widowControl/>
        <w:spacing w:line="600" w:lineRule="exact"/>
        <w:jc w:val="left"/>
        <w:rPr>
          <w:rFonts w:hint="eastAsia" w:ascii="Times New Roman" w:hAnsi="Times New Roman" w:eastAsia="黑体" w:cs="黑体"/>
          <w:sz w:val="32"/>
          <w:szCs w:val="32"/>
          <w:lang w:eastAsia="zh-CN"/>
        </w:rPr>
      </w:pPr>
    </w:p>
    <w:p>
      <w:pPr>
        <w:widowControl/>
        <w:spacing w:line="600" w:lineRule="exact"/>
        <w:jc w:val="center"/>
        <w:rPr>
          <w:rFonts w:hint="eastAsia" w:ascii="Times New Roman" w:hAnsi="Times New Roman" w:eastAsia="方正小标宋简体" w:cs="方正小标宋简体"/>
          <w:sz w:val="44"/>
          <w:szCs w:val="44"/>
        </w:rPr>
      </w:pPr>
      <w:bookmarkStart w:id="0" w:name="_GoBack"/>
      <w:r>
        <w:rPr>
          <w:rFonts w:hint="eastAsia" w:ascii="Times New Roman" w:hAnsi="Times New Roman" w:eastAsia="方正小标宋简体" w:cs="方正小标宋简体"/>
          <w:sz w:val="44"/>
          <w:szCs w:val="44"/>
        </w:rPr>
        <w:t>广东省</w:t>
      </w:r>
      <w:r>
        <w:rPr>
          <w:rFonts w:hint="eastAsia" w:ascii="Times New Roman" w:hAnsi="Times New Roman" w:eastAsia="方正小标宋简体" w:cs="方正小标宋简体"/>
          <w:sz w:val="44"/>
          <w:szCs w:val="44"/>
          <w:lang w:val="en-US" w:eastAsia="zh-CN"/>
        </w:rPr>
        <w:t>液化石油气</w:t>
      </w:r>
      <w:r>
        <w:rPr>
          <w:rFonts w:hint="eastAsia" w:ascii="Times New Roman" w:hAnsi="Times New Roman" w:eastAsia="方正小标宋简体" w:cs="方正小标宋简体"/>
          <w:sz w:val="44"/>
          <w:szCs w:val="44"/>
        </w:rPr>
        <w:t>产品质量监督抽查</w:t>
      </w:r>
    </w:p>
    <w:p>
      <w:pPr>
        <w:widowControl/>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实施细则</w:t>
      </w:r>
    </w:p>
    <w:bookmarkEnd w:id="0"/>
    <w:p>
      <w:pPr>
        <w:spacing w:line="520" w:lineRule="exact"/>
        <w:ind w:firstLine="640" w:firstLineChars="200"/>
        <w:rPr>
          <w:rFonts w:ascii="Times New Roman" w:hAnsi="Times New Roman"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一、抽样方法</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ascii="Times New Roman" w:hAnsi="Times New Roman" w:cs="Times New Roman"/>
          <w:color w:val="000000"/>
          <w:kern w:val="0"/>
          <w:sz w:val="32"/>
          <w:szCs w:val="32"/>
        </w:rPr>
      </w:pPr>
      <w:r>
        <w:rPr>
          <w:rFonts w:ascii="Times New Roman" w:hAnsi="Times New Roman" w:cs="Times New Roman"/>
          <w:color w:val="000000"/>
          <w:kern w:val="0"/>
          <w:sz w:val="32"/>
          <w:szCs w:val="32"/>
        </w:rPr>
        <w:t>以随机抽样的方式在被抽样经营者的待销产品中抽取。</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ascii="Times New Roman" w:hAnsi="Times New Roman" w:cs="Times New Roman"/>
          <w:color w:val="000000"/>
          <w:kern w:val="0"/>
          <w:sz w:val="32"/>
          <w:szCs w:val="32"/>
        </w:rPr>
      </w:pPr>
      <w:r>
        <w:rPr>
          <w:rFonts w:ascii="Times New Roman" w:hAnsi="Times New Roman" w:cs="Times New Roman"/>
          <w:color w:val="000000"/>
          <w:kern w:val="0"/>
          <w:sz w:val="32"/>
          <w:szCs w:val="32"/>
        </w:rPr>
        <w:t>随机数一般可使用随机数表等方法产生。</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jc w:val="both"/>
        <w:textAlignment w:val="auto"/>
        <w:rPr>
          <w:rFonts w:ascii="Times New Roman" w:hAnsi="Times New Roman" w:eastAsia="仿宋_GB2312" w:cs="仿宋_GB2312"/>
          <w:sz w:val="32"/>
          <w:szCs w:val="32"/>
          <w:lang w:val="en-US" w:eastAsia="zh-CN" w:bidi="ar-SA"/>
        </w:rPr>
      </w:pPr>
      <w:r>
        <w:rPr>
          <w:rFonts w:hint="eastAsia" w:ascii="Times New Roman" w:hAnsi="Times New Roman" w:eastAsia="仿宋_GB2312" w:cs="仿宋_GB2312"/>
          <w:sz w:val="32"/>
          <w:szCs w:val="32"/>
          <w:lang w:val="en-US" w:eastAsia="zh-CN" w:bidi="ar-SA"/>
        </w:rPr>
        <w:t>每批次至少抽取4</w:t>
      </w:r>
      <w:r>
        <w:rPr>
          <w:rFonts w:hint="eastAsia" w:ascii="Times New Roman" w:hAnsi="Times New Roman" w:eastAsia="仿宋_GB2312" w:cs="仿宋_GB2312"/>
          <w:color w:val="auto"/>
          <w:sz w:val="32"/>
          <w:szCs w:val="32"/>
          <w:lang w:val="en-US" w:eastAsia="zh-CN" w:bidi="ar-SA"/>
        </w:rPr>
        <w:t>kg样品，</w:t>
      </w:r>
      <w:r>
        <w:rPr>
          <w:rFonts w:hint="eastAsia" w:ascii="Times New Roman" w:hAnsi="Times New Roman" w:eastAsia="仿宋_GB2312" w:cs="仿宋_GB2312"/>
          <w:sz w:val="32"/>
          <w:szCs w:val="32"/>
          <w:lang w:val="en-US" w:eastAsia="zh-CN" w:bidi="ar-SA"/>
        </w:rPr>
        <w:t>平均分为2份，其中1份用作检样</w:t>
      </w:r>
      <w:r>
        <w:rPr>
          <w:rFonts w:hint="eastAsia" w:ascii="Times New Roman" w:hAnsi="Times New Roman" w:cs="仿宋_GB2312"/>
          <w:sz w:val="32"/>
          <w:szCs w:val="32"/>
          <w:lang w:val="en-US" w:eastAsia="zh-CN" w:bidi="ar-SA"/>
        </w:rPr>
        <w:t>、</w:t>
      </w:r>
      <w:r>
        <w:rPr>
          <w:rFonts w:hint="eastAsia" w:ascii="Times New Roman" w:hAnsi="Times New Roman" w:eastAsia="仿宋_GB2312" w:cs="仿宋_GB2312"/>
          <w:sz w:val="32"/>
          <w:szCs w:val="32"/>
          <w:lang w:val="en-US" w:eastAsia="zh-CN" w:bidi="ar-SA"/>
        </w:rPr>
        <w:t>1份留作备样。样品抽样应按SH/T 0233-1992《液化石油气采样法》的规定进行。</w:t>
      </w:r>
    </w:p>
    <w:p>
      <w:pPr>
        <w:keepNext w:val="0"/>
        <w:keepLines w:val="0"/>
        <w:pageBreakBefore w:val="0"/>
        <w:kinsoku/>
        <w:wordWrap/>
        <w:overflowPunct/>
        <w:topLinePunct w:val="0"/>
        <w:bidi w:val="0"/>
        <w:adjustRightInd/>
        <w:snapToGrid/>
        <w:spacing w:line="590" w:lineRule="exact"/>
        <w:ind w:firstLine="640" w:firstLineChars="200"/>
        <w:textAlignment w:val="auto"/>
        <w:rPr>
          <w:rFonts w:ascii="Times New Roman" w:hAnsi="Times New Roman" w:eastAsia="黑体" w:cs="黑体"/>
          <w:sz w:val="32"/>
          <w:szCs w:val="32"/>
        </w:rPr>
      </w:pPr>
      <w:r>
        <w:rPr>
          <w:rFonts w:ascii="Times New Roman" w:hAnsi="Times New Roman" w:eastAsia="黑体" w:cs="Times New Roman"/>
          <w:sz w:val="32"/>
          <w:szCs w:val="32"/>
        </w:rPr>
        <w:t>二、</w:t>
      </w:r>
      <w:r>
        <w:rPr>
          <w:rFonts w:hint="eastAsia" w:ascii="Times New Roman" w:hAnsi="Times New Roman" w:eastAsia="黑体" w:cs="黑体"/>
          <w:sz w:val="32"/>
          <w:szCs w:val="32"/>
        </w:rPr>
        <w:t>主要检验项目及检验项目属性划分</w:t>
      </w:r>
    </w:p>
    <w:tbl>
      <w:tblPr>
        <w:tblStyle w:val="3"/>
        <w:tblW w:w="8852" w:type="dxa"/>
        <w:jc w:val="center"/>
        <w:tblInd w:w="-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587"/>
        <w:gridCol w:w="2607"/>
        <w:gridCol w:w="698"/>
        <w:gridCol w:w="853"/>
        <w:gridCol w:w="802"/>
        <w:gridCol w:w="789"/>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序号</w:t>
            </w:r>
          </w:p>
        </w:tc>
        <w:tc>
          <w:tcPr>
            <w:tcW w:w="15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检验项目</w:t>
            </w:r>
          </w:p>
        </w:tc>
        <w:tc>
          <w:tcPr>
            <w:tcW w:w="260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检验方法</w:t>
            </w:r>
          </w:p>
        </w:tc>
        <w:tc>
          <w:tcPr>
            <w:tcW w:w="6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强制性</w:t>
            </w:r>
          </w:p>
        </w:tc>
        <w:tc>
          <w:tcPr>
            <w:tcW w:w="8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非强制性</w:t>
            </w:r>
          </w:p>
        </w:tc>
        <w:tc>
          <w:tcPr>
            <w:tcW w:w="80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重要项</w:t>
            </w:r>
          </w:p>
        </w:tc>
        <w:tc>
          <w:tcPr>
            <w:tcW w:w="78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较重要项</w:t>
            </w:r>
          </w:p>
        </w:tc>
        <w:tc>
          <w:tcPr>
            <w:tcW w:w="764" w:type="dxa"/>
            <w:tcBorders>
              <w:top w:val="single" w:color="auto" w:sz="4" w:space="0"/>
              <w:left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jc w:val="center"/>
        </w:trPr>
        <w:tc>
          <w:tcPr>
            <w:tcW w:w="752" w:type="dxa"/>
            <w:noWrap/>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1</w:t>
            </w:r>
          </w:p>
        </w:tc>
        <w:tc>
          <w:tcPr>
            <w:tcW w:w="1587"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val="en-US" w:eastAsia="zh-CN"/>
              </w:rPr>
              <w:t>组分</w:t>
            </w:r>
          </w:p>
        </w:tc>
        <w:tc>
          <w:tcPr>
            <w:tcW w:w="2607" w:type="dxa"/>
            <w:vMerge w:val="restart"/>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仿宋_GB2312"/>
                <w:color w:val="000000"/>
                <w:sz w:val="24"/>
                <w:szCs w:val="24"/>
              </w:rPr>
            </w:pPr>
            <w:r>
              <w:rPr>
                <w:rFonts w:hint="default" w:ascii="Times New Roman" w:hAnsi="Times New Roman" w:eastAsia="仿宋" w:cs="Times New Roman"/>
                <w:color w:val="000000"/>
                <w:sz w:val="28"/>
                <w:szCs w:val="28"/>
                <w:lang w:val="en-US" w:eastAsia="zh-CN"/>
              </w:rPr>
              <w:t>NB/SH/T 0230-2019</w:t>
            </w:r>
          </w:p>
        </w:tc>
        <w:tc>
          <w:tcPr>
            <w:tcW w:w="698" w:type="dxa"/>
            <w:noWrap/>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853" w:type="dxa"/>
            <w:noWrap/>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仿宋_GB2312" w:cs="仿宋_GB2312"/>
                <w:color w:val="000000"/>
                <w:sz w:val="24"/>
                <w:szCs w:val="24"/>
              </w:rPr>
            </w:pPr>
          </w:p>
        </w:tc>
        <w:tc>
          <w:tcPr>
            <w:tcW w:w="802" w:type="dxa"/>
            <w:noWrap/>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89" w:type="dxa"/>
            <w:noWrap/>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仿宋_GB2312" w:cs="仿宋_GB2312"/>
                <w:color w:val="000000"/>
                <w:sz w:val="24"/>
                <w:szCs w:val="24"/>
              </w:rPr>
            </w:pPr>
          </w:p>
        </w:tc>
        <w:tc>
          <w:tcPr>
            <w:tcW w:w="764" w:type="dxa"/>
            <w:noWrap/>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752" w:type="dxa"/>
            <w:noWrap/>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2</w:t>
            </w:r>
          </w:p>
        </w:tc>
        <w:tc>
          <w:tcPr>
            <w:tcW w:w="1587"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lang w:val="en-US" w:eastAsia="zh-CN"/>
              </w:rPr>
              <w:t>二甲醚含量</w:t>
            </w:r>
          </w:p>
        </w:tc>
        <w:tc>
          <w:tcPr>
            <w:tcW w:w="2607" w:type="dxa"/>
            <w:vMerge w:val="continue"/>
            <w:noWrap/>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仿宋_GB2312" w:cs="仿宋_GB2312"/>
                <w:color w:val="000000"/>
                <w:sz w:val="24"/>
                <w:szCs w:val="24"/>
              </w:rPr>
            </w:pPr>
          </w:p>
        </w:tc>
        <w:tc>
          <w:tcPr>
            <w:tcW w:w="698" w:type="dxa"/>
            <w:noWrap/>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仿宋_GB2312" w:cs="仿宋_GB2312"/>
                <w:color w:val="000000"/>
                <w:sz w:val="24"/>
                <w:szCs w:val="24"/>
              </w:rPr>
            </w:pPr>
          </w:p>
        </w:tc>
        <w:tc>
          <w:tcPr>
            <w:tcW w:w="853" w:type="dxa"/>
            <w:noWrap/>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802" w:type="dxa"/>
            <w:noWrap/>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w:t>
            </w:r>
          </w:p>
        </w:tc>
        <w:tc>
          <w:tcPr>
            <w:tcW w:w="789" w:type="dxa"/>
            <w:noWrap/>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仿宋_GB2312" w:cs="仿宋_GB2312"/>
                <w:color w:val="000000"/>
                <w:sz w:val="24"/>
                <w:szCs w:val="24"/>
              </w:rPr>
            </w:pPr>
          </w:p>
        </w:tc>
        <w:tc>
          <w:tcPr>
            <w:tcW w:w="764" w:type="dxa"/>
            <w:noWrap/>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jc w:val="center"/>
        </w:trPr>
        <w:tc>
          <w:tcPr>
            <w:tcW w:w="8852" w:type="dxa"/>
            <w:gridSpan w:val="8"/>
            <w:noWrap/>
            <w:vAlign w:val="center"/>
          </w:tcPr>
          <w:p>
            <w:pPr>
              <w:keepNext w:val="0"/>
              <w:keepLines w:val="0"/>
              <w:pageBreakBefore w:val="0"/>
              <w:widowControl/>
              <w:kinsoku/>
              <w:wordWrap/>
              <w:overflowPunct/>
              <w:topLinePunct w:val="0"/>
              <w:autoSpaceDE/>
              <w:autoSpaceDN/>
              <w:bidi w:val="0"/>
              <w:adjustRightInd/>
              <w:snapToGrid/>
              <w:spacing w:line="240" w:lineRule="auto"/>
              <w:ind w:firstLine="480" w:firstLineChars="200"/>
              <w:jc w:val="both"/>
              <w:textAlignment w:val="auto"/>
              <w:outlineLvl w:val="9"/>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color w:val="000000"/>
                <w:kern w:val="0"/>
                <w:sz w:val="24"/>
                <w:szCs w:val="24"/>
              </w:rPr>
              <w:t>备注：由于产品标准未对“二甲醚”项目提出技术要求，因此该项目仅出具检验数据、不做结论判定</w:t>
            </w:r>
            <w:r>
              <w:rPr>
                <w:rFonts w:hint="eastAsia" w:ascii="Times New Roman" w:hAnsi="Times New Roman" w:cs="仿宋_GB2312"/>
                <w:color w:val="000000"/>
                <w:kern w:val="0"/>
                <w:sz w:val="24"/>
                <w:szCs w:val="24"/>
                <w:lang w:eastAsia="zh-CN"/>
              </w:rPr>
              <w:t>。</w:t>
            </w: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Times New Roman" w:hAnsi="Times New Roman" w:eastAsia="宋体" w:cs="宋体"/>
          <w:color w:val="000000"/>
          <w:sz w:val="24"/>
        </w:rPr>
      </w:pPr>
      <w:r>
        <w:rPr>
          <w:rFonts w:hint="eastAsia" w:ascii="Times New Roman" w:hAnsi="Times New Roman" w:eastAsia="宋体" w:cs="宋体"/>
          <w:color w:val="000000"/>
          <w:sz w:val="24"/>
        </w:rPr>
        <w:t>注：执行企业标准、团体标准、地方标准的产品，检验项目参照上述内容执行。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Times New Roman" w:hAnsi="Times New Roman" w:eastAsia="宋体" w:cs="宋体"/>
          <w:sz w:val="32"/>
        </w:rPr>
      </w:pPr>
      <w:r>
        <w:rPr>
          <w:rFonts w:hint="eastAsia" w:ascii="Times New Roman" w:hAnsi="Times New Roman" w:eastAsia="宋体" w:cs="宋体"/>
          <w:color w:val="000000"/>
          <w:sz w:val="24"/>
        </w:rPr>
        <w:t>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黑体" w:cs="黑体"/>
          <w:sz w:val="32"/>
          <w:szCs w:val="32"/>
        </w:rPr>
      </w:pPr>
      <w:r>
        <w:rPr>
          <w:rFonts w:hint="eastAsia" w:ascii="Times New Roman" w:hAnsi="Times New Roman" w:eastAsia="黑体" w:cs="黑体"/>
          <w:sz w:val="32"/>
          <w:szCs w:val="32"/>
        </w:rPr>
        <w:t>三、判定规则</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ascii="Times New Roman" w:hAnsi="Times New Roman" w:eastAsia="楷体_GB2312" w:cs="楷体_GB2312"/>
          <w:kern w:val="0"/>
          <w:sz w:val="32"/>
          <w:szCs w:val="32"/>
        </w:rPr>
      </w:pPr>
      <w:r>
        <w:rPr>
          <w:rFonts w:hint="eastAsia" w:ascii="Times New Roman" w:hAnsi="Times New Roman" w:eastAsia="楷体_GB2312" w:cs="楷体_GB2312"/>
          <w:sz w:val="32"/>
          <w:szCs w:val="32"/>
        </w:rPr>
        <w:t>（一）</w:t>
      </w:r>
      <w:r>
        <w:rPr>
          <w:rFonts w:hint="eastAsia" w:ascii="Times New Roman" w:hAnsi="Times New Roman" w:eastAsia="楷体_GB2312" w:cs="楷体_GB2312"/>
          <w:kern w:val="0"/>
          <w:sz w:val="32"/>
          <w:szCs w:val="32"/>
        </w:rPr>
        <w:t>依据标准</w:t>
      </w:r>
    </w:p>
    <w:p>
      <w:pPr>
        <w:keepNext w:val="0"/>
        <w:keepLines w:val="0"/>
        <w:pageBreakBefore w:val="0"/>
        <w:kinsoku/>
        <w:wordWrap/>
        <w:overflowPunct/>
        <w:topLinePunct w:val="0"/>
        <w:autoSpaceDE/>
        <w:autoSpaceDN/>
        <w:bidi w:val="0"/>
        <w:adjustRightInd w:val="0"/>
        <w:snapToGrid/>
        <w:spacing w:line="590" w:lineRule="exact"/>
        <w:ind w:firstLine="640" w:firstLineChars="200"/>
        <w:textAlignment w:val="auto"/>
        <w:rPr>
          <w:rFonts w:hint="eastAsia"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rPr>
        <w:t>GB 11174-2011《液化石油气》</w:t>
      </w:r>
      <w:r>
        <w:rPr>
          <w:rFonts w:hint="eastAsia" w:ascii="Times New Roman" w:hAnsi="Times New Roman" w:eastAsia="仿宋"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Times New Roman" w:hAnsi="Times New Roman" w:cs="宋体"/>
          <w:color w:val="000000"/>
          <w:kern w:val="0"/>
          <w:sz w:val="32"/>
          <w:szCs w:val="32"/>
        </w:rPr>
      </w:pPr>
      <w:r>
        <w:rPr>
          <w:rFonts w:hint="eastAsia" w:ascii="Times New Roman" w:hAnsi="Times New Roman" w:cs="宋体"/>
          <w:color w:val="000000"/>
          <w:kern w:val="0"/>
          <w:sz w:val="32"/>
          <w:szCs w:val="32"/>
        </w:rPr>
        <w:t>现行有效的企业标准、团体标准、地方标准及产品明示质量要求。</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楷体_GB2312" w:cs="Times New Roman"/>
          <w:bCs/>
          <w:kern w:val="0"/>
          <w:sz w:val="32"/>
          <w:szCs w:val="32"/>
        </w:rPr>
      </w:pPr>
      <w:r>
        <w:rPr>
          <w:rFonts w:ascii="Times New Roman" w:hAnsi="Times New Roman" w:eastAsia="楷体_GB2312" w:cs="Times New Roman"/>
          <w:bCs/>
          <w:kern w:val="0"/>
          <w:sz w:val="32"/>
          <w:szCs w:val="32"/>
        </w:rPr>
        <w:t>（二）判定原则</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cs="仿宋_GB2312"/>
          <w:color w:val="000000"/>
          <w:sz w:val="32"/>
          <w:szCs w:val="32"/>
        </w:rPr>
      </w:pPr>
      <w:r>
        <w:rPr>
          <w:rFonts w:hint="eastAsia" w:ascii="Times New Roman" w:hAnsi="Times New Roman" w:cs="仿宋_GB2312"/>
          <w:color w:val="000000"/>
          <w:sz w:val="32"/>
          <w:szCs w:val="32"/>
        </w:rPr>
        <w:t>经检验，检验项目全部合格，判定为抽取的样本所检项目未检出不合格；检验项目中任一项或一项以上不合格，判定为被抽查产品不合格。</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cs="仿宋_GB2312"/>
          <w:color w:val="000000"/>
          <w:sz w:val="32"/>
          <w:szCs w:val="32"/>
        </w:rPr>
      </w:pPr>
      <w:r>
        <w:rPr>
          <w:rFonts w:hint="eastAsia" w:ascii="Times New Roman" w:hAnsi="Times New Roman" w:cs="仿宋_GB2312"/>
          <w:color w:val="000000"/>
          <w:sz w:val="32"/>
          <w:szCs w:val="32"/>
        </w:rPr>
        <w:t>当被检样品明示的质量要求优于监督抽查实施细则中依据的标准要求时，应按被检样品明示的质量要求判定；</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cs="仿宋_GB2312"/>
          <w:color w:val="000000"/>
          <w:sz w:val="32"/>
          <w:szCs w:val="32"/>
        </w:rPr>
      </w:pPr>
      <w:r>
        <w:rPr>
          <w:rFonts w:hint="eastAsia" w:ascii="Times New Roman" w:hAnsi="Times New Roman" w:cs="仿宋_GB2312"/>
          <w:color w:val="000000"/>
          <w:sz w:val="32"/>
          <w:szCs w:val="32"/>
        </w:rPr>
        <w:t>当被检样品明示的质量要求劣于或不包含监督抽查实施细则中依据的强制性标准要求时，应按照强制性标准要求判定；</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cs="仿宋_GB2312"/>
          <w:color w:val="000000"/>
          <w:sz w:val="32"/>
          <w:szCs w:val="32"/>
        </w:rPr>
      </w:pPr>
      <w:r>
        <w:rPr>
          <w:rFonts w:hint="eastAsia" w:ascii="Times New Roman" w:hAnsi="Times New Roman" w:cs="仿宋_GB2312"/>
          <w:color w:val="00000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cs="仿宋_GB2312"/>
          <w:color w:val="000000"/>
          <w:sz w:val="32"/>
          <w:szCs w:val="32"/>
        </w:rPr>
      </w:pPr>
      <w:r>
        <w:rPr>
          <w:rFonts w:hint="eastAsia" w:ascii="Times New Roman" w:hAnsi="Times New Roman" w:cs="仿宋_GB2312"/>
          <w:color w:val="000000"/>
          <w:sz w:val="32"/>
          <w:szCs w:val="32"/>
        </w:rPr>
        <w:t>当被检样品明示的质量要求不包含监督抽查实施细则中依据的推荐性标准要求时，该指标不参与判定，但应在检验报告中作出说明；</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cs="仿宋_GB2312"/>
          <w:color w:val="000000"/>
          <w:sz w:val="32"/>
          <w:szCs w:val="32"/>
        </w:rPr>
      </w:pPr>
      <w:r>
        <w:rPr>
          <w:rFonts w:hint="eastAsia" w:ascii="Times New Roman" w:hAnsi="Times New Roman" w:cs="仿宋_GB2312"/>
          <w:color w:val="000000"/>
          <w:sz w:val="32"/>
          <w:szCs w:val="32"/>
        </w:rPr>
        <w:t>当被检样品未能提供有效的企业标准时，按相关国家或行业标准进行判定；</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cs="仿宋_GB2312"/>
          <w:color w:val="000000"/>
          <w:sz w:val="32"/>
          <w:szCs w:val="32"/>
        </w:rPr>
      </w:pPr>
      <w:r>
        <w:rPr>
          <w:rFonts w:hint="eastAsia" w:ascii="Times New Roman" w:hAnsi="Times New Roman" w:cs="仿宋_GB2312"/>
          <w:color w:val="00000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cs="仿宋_GB2312"/>
          <w:color w:val="000000"/>
          <w:sz w:val="32"/>
          <w:szCs w:val="32"/>
        </w:rPr>
      </w:pPr>
      <w:r>
        <w:rPr>
          <w:rFonts w:hint="eastAsia" w:ascii="Times New Roman" w:hAnsi="Times New Roman" w:cs="仿宋_GB2312"/>
          <w:color w:val="000000"/>
          <w:sz w:val="32"/>
          <w:szCs w:val="32"/>
        </w:rPr>
        <w:t>按照产品质量相关法律法规的规定判定。</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cs="仿宋_GB2312"/>
          <w:color w:val="000000"/>
          <w:sz w:val="32"/>
          <w:szCs w:val="32"/>
        </w:rPr>
      </w:pPr>
      <w:r>
        <w:rPr>
          <w:rFonts w:hint="eastAsia" w:ascii="Times New Roman" w:hAnsi="Times New Roman" w:cs="仿宋_GB2312"/>
          <w:color w:val="000000"/>
          <w:sz w:val="32"/>
          <w:szCs w:val="32"/>
        </w:rPr>
        <w:t>检验中发现因样品失效或者其他原因致使检验无法进行的，检验人员应如实记录，并提供相关证明材料，报送组织监督抽查的市场监管部门。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72986"/>
    <w:rsid w:val="2FD729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2023-08-25T08:54:00Z</dcterms:created>
  <dc:creator>胡翌婧</dc:creator>
  <cp:lastModifiedBy>胡翌婧</cp:lastModifiedBy>
  <dcterms:modified xsi:type="dcterms:W3CDTF">2023-08-25T08:58:19Z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