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DF" w:rsidRDefault="00A73B34">
      <w:pPr>
        <w:adjustRightInd w:val="0"/>
        <w:snapToGrid w:val="0"/>
        <w:spacing w:line="594" w:lineRule="exact"/>
        <w:rPr>
          <w:rFonts w:eastAsia="方正小标宋简体"/>
          <w:color w:val="000000"/>
          <w:szCs w:val="32"/>
        </w:rPr>
      </w:pPr>
      <w:r>
        <w:rPr>
          <w:rFonts w:eastAsia="方正小标宋简体"/>
          <w:color w:val="000000"/>
          <w:szCs w:val="32"/>
        </w:rPr>
        <w:t>附件</w:t>
      </w:r>
      <w:r>
        <w:rPr>
          <w:rFonts w:eastAsia="方正小标宋简体" w:hint="eastAsia"/>
          <w:color w:val="000000"/>
          <w:szCs w:val="32"/>
        </w:rPr>
        <w:t>3</w:t>
      </w:r>
    </w:p>
    <w:p w:rsidR="00E37FDF" w:rsidRDefault="00E37FDF">
      <w:pPr>
        <w:widowControl/>
        <w:spacing w:line="600" w:lineRule="exact"/>
        <w:jc w:val="left"/>
        <w:rPr>
          <w:rFonts w:ascii="仿宋" w:eastAsia="仿宋" w:hAnsi="仿宋" w:cs="仿宋"/>
          <w:bCs/>
          <w:szCs w:val="32"/>
        </w:rPr>
      </w:pPr>
    </w:p>
    <w:p w:rsidR="00E37FDF" w:rsidRPr="00A73B34" w:rsidRDefault="00A73B34" w:rsidP="00A73B34">
      <w:pPr>
        <w:widowControl/>
        <w:adjustRightInd w:val="0"/>
        <w:snapToGrid w:val="0"/>
        <w:spacing w:line="594" w:lineRule="exact"/>
        <w:jc w:val="center"/>
        <w:rPr>
          <w:rFonts w:eastAsia="方正小标宋简体"/>
          <w:color w:val="000000"/>
          <w:szCs w:val="32"/>
        </w:rPr>
      </w:pPr>
      <w:r w:rsidRPr="00A73B34">
        <w:rPr>
          <w:rFonts w:eastAsia="方正小标宋简体" w:hint="eastAsia"/>
          <w:color w:val="000000"/>
          <w:szCs w:val="32"/>
        </w:rPr>
        <w:t>梅州市玩具产品质量监督抽查实施细则</w:t>
      </w:r>
    </w:p>
    <w:p w:rsidR="00E37FDF" w:rsidRDefault="00E37FDF">
      <w:pPr>
        <w:spacing w:line="600" w:lineRule="exact"/>
        <w:rPr>
          <w:rFonts w:ascii="仿宋_GB2312" w:hAnsi="仿宋_GB2312" w:cs="仿宋_GB2312"/>
          <w:szCs w:val="32"/>
        </w:rPr>
      </w:pPr>
    </w:p>
    <w:p w:rsidR="00E37FDF" w:rsidRDefault="00A73B34">
      <w:pPr>
        <w:snapToGrid w:val="0"/>
        <w:spacing w:line="440" w:lineRule="exact"/>
        <w:ind w:firstLineChars="200" w:firstLine="420"/>
        <w:rPr>
          <w:rFonts w:eastAsia="黑体"/>
          <w:color w:val="000000"/>
          <w:sz w:val="21"/>
          <w:szCs w:val="21"/>
        </w:rPr>
      </w:pPr>
      <w:r>
        <w:rPr>
          <w:rFonts w:eastAsia="黑体" w:hint="eastAsia"/>
          <w:color w:val="000000"/>
          <w:sz w:val="21"/>
          <w:szCs w:val="21"/>
        </w:rPr>
        <w:t>一、抽样方法</w:t>
      </w:r>
    </w:p>
    <w:p w:rsidR="00E37FDF" w:rsidRDefault="00A73B34">
      <w:pPr>
        <w:autoSpaceDE w:val="0"/>
        <w:autoSpaceDN w:val="0"/>
        <w:spacing w:line="600" w:lineRule="exact"/>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以随机抽样的方式在被抽样经营者的待销产品中抽取。随机数一般可使用随机数表等方法产生。</w:t>
      </w:r>
      <w:bookmarkStart w:id="0" w:name="_GoBack"/>
      <w:bookmarkEnd w:id="0"/>
    </w:p>
    <w:p w:rsidR="00E37FDF" w:rsidRDefault="00A73B34">
      <w:pPr>
        <w:autoSpaceDE w:val="0"/>
        <w:autoSpaceDN w:val="0"/>
        <w:spacing w:line="600" w:lineRule="exact"/>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kern w:val="0"/>
          <w:sz w:val="21"/>
          <w:szCs w:val="21"/>
        </w:rPr>
        <w:t>每款产品抽取</w:t>
      </w:r>
      <w:r>
        <w:rPr>
          <w:rFonts w:asciiTheme="minorEastAsia" w:eastAsiaTheme="minorEastAsia" w:hAnsiTheme="minorEastAsia" w:cstheme="minorEastAsia" w:hint="eastAsia"/>
          <w:kern w:val="0"/>
          <w:sz w:val="21"/>
          <w:szCs w:val="21"/>
        </w:rPr>
        <w:t>2</w:t>
      </w:r>
      <w:r>
        <w:rPr>
          <w:rFonts w:asciiTheme="minorEastAsia" w:eastAsiaTheme="minorEastAsia" w:hAnsiTheme="minorEastAsia" w:cstheme="minorEastAsia" w:hint="eastAsia"/>
          <w:kern w:val="0"/>
          <w:sz w:val="21"/>
          <w:szCs w:val="21"/>
        </w:rPr>
        <w:t>组样本，第</w:t>
      </w:r>
      <w:r>
        <w:rPr>
          <w:rFonts w:asciiTheme="minorEastAsia" w:eastAsiaTheme="minorEastAsia" w:hAnsiTheme="minorEastAsia" w:cstheme="minorEastAsia" w:hint="eastAsia"/>
          <w:kern w:val="0"/>
          <w:sz w:val="21"/>
          <w:szCs w:val="21"/>
        </w:rPr>
        <w:t>1</w:t>
      </w:r>
      <w:r>
        <w:rPr>
          <w:rFonts w:asciiTheme="minorEastAsia" w:eastAsiaTheme="minorEastAsia" w:hAnsiTheme="minorEastAsia" w:cstheme="minorEastAsia" w:hint="eastAsia"/>
          <w:kern w:val="0"/>
          <w:sz w:val="21"/>
          <w:szCs w:val="21"/>
        </w:rPr>
        <w:t>组用于检验，第</w:t>
      </w:r>
      <w:r>
        <w:rPr>
          <w:rFonts w:asciiTheme="minorEastAsia" w:eastAsiaTheme="minorEastAsia" w:hAnsiTheme="minorEastAsia" w:cstheme="minorEastAsia" w:hint="eastAsia"/>
          <w:kern w:val="0"/>
          <w:sz w:val="21"/>
          <w:szCs w:val="21"/>
        </w:rPr>
        <w:t>2</w:t>
      </w:r>
      <w:r>
        <w:rPr>
          <w:rFonts w:asciiTheme="minorEastAsia" w:eastAsiaTheme="minorEastAsia" w:hAnsiTheme="minorEastAsia" w:cstheme="minorEastAsia" w:hint="eastAsia"/>
          <w:kern w:val="0"/>
          <w:sz w:val="21"/>
          <w:szCs w:val="21"/>
        </w:rPr>
        <w:t>组用于备样。第</w:t>
      </w:r>
      <w:r>
        <w:rPr>
          <w:rFonts w:asciiTheme="minorEastAsia" w:eastAsiaTheme="minorEastAsia" w:hAnsiTheme="minorEastAsia" w:cstheme="minorEastAsia" w:hint="eastAsia"/>
          <w:kern w:val="0"/>
          <w:sz w:val="21"/>
          <w:szCs w:val="21"/>
        </w:rPr>
        <w:t>1</w:t>
      </w:r>
      <w:r>
        <w:rPr>
          <w:rFonts w:asciiTheme="minorEastAsia" w:eastAsiaTheme="minorEastAsia" w:hAnsiTheme="minorEastAsia" w:cstheme="minorEastAsia" w:hint="eastAsia"/>
          <w:kern w:val="0"/>
          <w:sz w:val="21"/>
          <w:szCs w:val="21"/>
        </w:rPr>
        <w:t>组抽取数量为</w:t>
      </w:r>
      <w:r>
        <w:rPr>
          <w:rFonts w:asciiTheme="minorEastAsia" w:eastAsiaTheme="minorEastAsia" w:hAnsiTheme="minorEastAsia" w:cstheme="minorEastAsia" w:hint="eastAsia"/>
          <w:kern w:val="0"/>
          <w:sz w:val="21"/>
          <w:szCs w:val="21"/>
        </w:rPr>
        <w:t>2</w:t>
      </w:r>
      <w:r>
        <w:rPr>
          <w:rFonts w:asciiTheme="minorEastAsia" w:eastAsiaTheme="minorEastAsia" w:hAnsiTheme="minorEastAsia" w:cstheme="minorEastAsia" w:hint="eastAsia"/>
          <w:kern w:val="0"/>
          <w:sz w:val="21"/>
          <w:szCs w:val="21"/>
        </w:rPr>
        <w:t>个，第</w:t>
      </w:r>
      <w:r>
        <w:rPr>
          <w:rFonts w:asciiTheme="minorEastAsia" w:eastAsiaTheme="minorEastAsia" w:hAnsiTheme="minorEastAsia" w:cstheme="minorEastAsia" w:hint="eastAsia"/>
          <w:kern w:val="0"/>
          <w:sz w:val="21"/>
          <w:szCs w:val="21"/>
        </w:rPr>
        <w:t>2</w:t>
      </w:r>
      <w:r>
        <w:rPr>
          <w:rFonts w:asciiTheme="minorEastAsia" w:eastAsiaTheme="minorEastAsia" w:hAnsiTheme="minorEastAsia" w:cstheme="minorEastAsia" w:hint="eastAsia"/>
          <w:kern w:val="0"/>
          <w:sz w:val="21"/>
          <w:szCs w:val="21"/>
        </w:rPr>
        <w:t>组抽取数量为</w:t>
      </w:r>
      <w:r>
        <w:rPr>
          <w:rFonts w:asciiTheme="minorEastAsia" w:eastAsiaTheme="minorEastAsia" w:hAnsiTheme="minorEastAsia" w:cstheme="minorEastAsia" w:hint="eastAsia"/>
          <w:kern w:val="0"/>
          <w:sz w:val="21"/>
          <w:szCs w:val="21"/>
        </w:rPr>
        <w:t>1</w:t>
      </w:r>
      <w:r>
        <w:rPr>
          <w:rFonts w:asciiTheme="minorEastAsia" w:eastAsiaTheme="minorEastAsia" w:hAnsiTheme="minorEastAsia" w:cstheme="minorEastAsia" w:hint="eastAsia"/>
          <w:kern w:val="0"/>
          <w:sz w:val="21"/>
          <w:szCs w:val="21"/>
        </w:rPr>
        <w:t>个。</w:t>
      </w:r>
    </w:p>
    <w:p w:rsidR="00E37FDF" w:rsidRDefault="00A73B34">
      <w:pPr>
        <w:snapToGrid w:val="0"/>
        <w:spacing w:line="440" w:lineRule="exact"/>
        <w:ind w:firstLineChars="200" w:firstLine="420"/>
        <w:rPr>
          <w:rFonts w:eastAsia="黑体"/>
          <w:color w:val="000000"/>
          <w:sz w:val="21"/>
          <w:szCs w:val="21"/>
        </w:rPr>
      </w:pPr>
      <w:r>
        <w:rPr>
          <w:rFonts w:eastAsia="黑体" w:hint="eastAsia"/>
          <w:color w:val="000000"/>
          <w:sz w:val="21"/>
          <w:szCs w:val="21"/>
        </w:rPr>
        <w:t>二、主要检验项目及检验项目属性划分</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2220"/>
        <w:gridCol w:w="2012"/>
        <w:gridCol w:w="1038"/>
        <w:gridCol w:w="712"/>
        <w:gridCol w:w="700"/>
        <w:gridCol w:w="713"/>
        <w:gridCol w:w="769"/>
      </w:tblGrid>
      <w:tr w:rsidR="00E37FDF">
        <w:trPr>
          <w:cantSplit/>
          <w:trHeight w:val="454"/>
          <w:tblHeader/>
          <w:jc w:val="center"/>
        </w:trPr>
        <w:tc>
          <w:tcPr>
            <w:tcW w:w="655"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序号</w:t>
            </w:r>
          </w:p>
        </w:tc>
        <w:tc>
          <w:tcPr>
            <w:tcW w:w="2220"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检验项目</w:t>
            </w:r>
          </w:p>
        </w:tc>
        <w:tc>
          <w:tcPr>
            <w:tcW w:w="2012"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检验方法</w:t>
            </w:r>
          </w:p>
        </w:tc>
        <w:tc>
          <w:tcPr>
            <w:tcW w:w="1038"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强制性</w:t>
            </w:r>
          </w:p>
        </w:tc>
        <w:tc>
          <w:tcPr>
            <w:tcW w:w="712"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非强制性</w:t>
            </w:r>
          </w:p>
        </w:tc>
        <w:tc>
          <w:tcPr>
            <w:tcW w:w="700"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重要项</w:t>
            </w:r>
          </w:p>
        </w:tc>
        <w:tc>
          <w:tcPr>
            <w:tcW w:w="713"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较重要项</w:t>
            </w:r>
          </w:p>
        </w:tc>
        <w:tc>
          <w:tcPr>
            <w:tcW w:w="769" w:type="dxa"/>
            <w:vAlign w:val="center"/>
          </w:tcPr>
          <w:p w:rsidR="00E37FDF" w:rsidRDefault="00A73B34">
            <w:pPr>
              <w:adjustRightInd w:val="0"/>
              <w:snapToGrid w:val="0"/>
              <w:spacing w:line="34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次要项</w:t>
            </w: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材料</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5.21</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13"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小零件</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某些特定玩具的形状、尺寸及强度</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5.3</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5.4</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5.5</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 xml:space="preserve">5.6 </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边缘</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5.8</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5</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尖端</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 xml:space="preserve">GB 6675.2-2014 5.9 </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6</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突出部件</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7</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金属丝和杆件</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5.24.8</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5.24.6.4</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5.8</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5.9</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8</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用于包装或玩具中的塑料袋或塑料薄膜</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5.10</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9</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绳索和弹性绳</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5.11</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10</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折叠机构</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11</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孔、间隙、机械装置的可触及性</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 xml:space="preserve">GB 6675.2-2014 4.13 </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12</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弹簧</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4.14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13</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乘骑玩具及座位稳定性</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lastRenderedPageBreak/>
              <w:t>14</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乘骑玩具及座位的超载性能</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15</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静止在地面上的玩具的稳定性</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16</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通风装置</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4.16.1</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17</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关闭件</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5.13</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18</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封闭头部的玩具</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4.16.3</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19</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仿制防护玩具（头盔、帽子、护目镜）</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21</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弹射玩具</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5.15</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5.24.5</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 xml:space="preserve">5.24.6.4 </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22</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水上玩具</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4.19</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23</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制动装置</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5.16</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24</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玩具自行车使用说明</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4.21.1</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13"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25</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鞍座最大高度</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4.21.2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13"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26</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制动要求</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5.16</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27</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热源玩具</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5.18</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28</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液体填充玩具</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 xml:space="preserve">GB </w:t>
            </w:r>
            <w:r>
              <w:rPr>
                <w:rFonts w:asciiTheme="minorEastAsia" w:eastAsiaTheme="minorEastAsia" w:hAnsiTheme="minorEastAsia" w:cstheme="minorEastAsia" w:hint="eastAsia"/>
                <w:spacing w:val="-6"/>
                <w:sz w:val="21"/>
                <w:szCs w:val="21"/>
              </w:rPr>
              <w:t>6675.2-2014 5.19</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29</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proofErr w:type="gramStart"/>
            <w:r>
              <w:rPr>
                <w:rFonts w:asciiTheme="minorEastAsia" w:eastAsiaTheme="minorEastAsia" w:hAnsiTheme="minorEastAsia" w:cstheme="minorEastAsia" w:hint="eastAsia"/>
                <w:spacing w:val="-6"/>
                <w:sz w:val="21"/>
                <w:szCs w:val="21"/>
              </w:rPr>
              <w:t>口动玩具</w:t>
            </w:r>
            <w:proofErr w:type="gramEnd"/>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5.24.5</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5.24.6.1</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5.20</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30</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玩具火药帽</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4.27</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31</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声响要求</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5.25</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32</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磁体和磁性部件</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5.24.5</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5.24.6.1</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5.24.6.2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5.24.7</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5.26</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5.27</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5.28</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5.29</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33</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易燃性能：一般要求</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6675.3-2014 4.1</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lastRenderedPageBreak/>
              <w:t>34</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易燃性能：头戴玩具</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6675.3-2014 5.2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5.3</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35</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易燃性能：化妆服饰</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6675.3-2014 5.4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36</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易燃性能：供儿童进入的玩具</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6675.3-2014 5.4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37</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易燃性能：具有毛绒或纺织表面的软体填充玩具（动物和娃娃等）</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6675.3-2014 5.5</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5.6</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38</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标识和说明</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 xml:space="preserve">GB 19865-2005 7 </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13"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39</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发热和非正常工作</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 xml:space="preserve">GB 19865-2005 9 </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40</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机械强度</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19865-2005 13</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41</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结构</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19865-2005 14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42</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可迁移元素</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 xml:space="preserve">GB 6675.4-2014 </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43</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邻苯二甲酸酯增塑剂</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GB/T 22048-2022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44</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突出部件</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6675.12-2014 4.7</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45</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静态强度和动态强度</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6675.12-2014  5.1</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5.2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46</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把立管强度</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6675.12-2014 5.4</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47</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三轮滑板车的稳定性</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6675.2-2014 5.12.2</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48</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可调节、可折叠的把立管和把横管</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6675.12-2014  5.4.3</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49</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刹车</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6675.12-2014 5.3</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50</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化学物质</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26387-2011</w:t>
            </w:r>
          </w:p>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 xml:space="preserve"> 4.1</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4.2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4.3</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r w:rsidR="00E37FDF">
        <w:trPr>
          <w:cantSplit/>
          <w:trHeight w:val="454"/>
          <w:jc w:val="center"/>
        </w:trPr>
        <w:tc>
          <w:tcPr>
            <w:tcW w:w="655" w:type="dxa"/>
            <w:vAlign w:val="center"/>
          </w:tcPr>
          <w:p w:rsidR="00E37FDF" w:rsidRDefault="00A73B34">
            <w:pPr>
              <w:widowControl/>
              <w:spacing w:line="340" w:lineRule="exact"/>
              <w:jc w:val="center"/>
              <w:textAlignment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0"/>
                <w:sz w:val="21"/>
                <w:szCs w:val="21"/>
                <w:lang w:bidi="ar"/>
              </w:rPr>
              <w:t>51</w:t>
            </w:r>
          </w:p>
        </w:tc>
        <w:tc>
          <w:tcPr>
            <w:tcW w:w="2220"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标注</w:t>
            </w:r>
          </w:p>
        </w:tc>
        <w:tc>
          <w:tcPr>
            <w:tcW w:w="2012" w:type="dxa"/>
            <w:vAlign w:val="center"/>
          </w:tcPr>
          <w:p w:rsidR="00E37FDF" w:rsidRDefault="00A73B34">
            <w:pPr>
              <w:spacing w:line="340" w:lineRule="exact"/>
              <w:jc w:val="center"/>
              <w:rPr>
                <w:rFonts w:asciiTheme="minorEastAsia" w:eastAsiaTheme="minorEastAsia" w:hAnsiTheme="minorEastAsia" w:cstheme="minorEastAsia"/>
                <w:spacing w:val="-6"/>
                <w:sz w:val="21"/>
                <w:szCs w:val="21"/>
              </w:rPr>
            </w:pPr>
            <w:r>
              <w:rPr>
                <w:rFonts w:asciiTheme="minorEastAsia" w:eastAsiaTheme="minorEastAsia" w:hAnsiTheme="minorEastAsia" w:cstheme="minorEastAsia" w:hint="eastAsia"/>
                <w:spacing w:val="-6"/>
                <w:sz w:val="21"/>
                <w:szCs w:val="21"/>
              </w:rPr>
              <w:t>GB 26387-2011 6.2</w:t>
            </w:r>
            <w:r>
              <w:rPr>
                <w:rFonts w:asciiTheme="minorEastAsia" w:eastAsiaTheme="minorEastAsia" w:hAnsiTheme="minorEastAsia" w:cstheme="minorEastAsia" w:hint="eastAsia"/>
                <w:spacing w:val="-6"/>
                <w:sz w:val="21"/>
                <w:szCs w:val="21"/>
              </w:rPr>
              <w:t>、</w:t>
            </w:r>
            <w:r>
              <w:rPr>
                <w:rFonts w:asciiTheme="minorEastAsia" w:eastAsiaTheme="minorEastAsia" w:hAnsiTheme="minorEastAsia" w:cstheme="minorEastAsia" w:hint="eastAsia"/>
                <w:spacing w:val="-6"/>
                <w:sz w:val="21"/>
                <w:szCs w:val="21"/>
              </w:rPr>
              <w:t>6.3</w:t>
            </w:r>
          </w:p>
        </w:tc>
        <w:tc>
          <w:tcPr>
            <w:tcW w:w="1038"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2"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00" w:type="dxa"/>
            <w:vAlign w:val="center"/>
          </w:tcPr>
          <w:p w:rsidR="00E37FDF" w:rsidRDefault="00A73B34">
            <w:pPr>
              <w:spacing w:line="34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713" w:type="dxa"/>
            <w:vAlign w:val="center"/>
          </w:tcPr>
          <w:p w:rsidR="00E37FDF" w:rsidRDefault="00E37FDF">
            <w:pPr>
              <w:spacing w:line="340" w:lineRule="exact"/>
              <w:jc w:val="center"/>
              <w:rPr>
                <w:rFonts w:asciiTheme="minorEastAsia" w:eastAsiaTheme="minorEastAsia" w:hAnsiTheme="minorEastAsia" w:cstheme="minorEastAsia"/>
                <w:sz w:val="21"/>
                <w:szCs w:val="21"/>
              </w:rPr>
            </w:pPr>
          </w:p>
        </w:tc>
        <w:tc>
          <w:tcPr>
            <w:tcW w:w="769" w:type="dxa"/>
            <w:vAlign w:val="center"/>
          </w:tcPr>
          <w:p w:rsidR="00E37FDF" w:rsidRDefault="00E37FDF">
            <w:pPr>
              <w:adjustRightInd w:val="0"/>
              <w:snapToGrid w:val="0"/>
              <w:spacing w:line="340" w:lineRule="exact"/>
              <w:jc w:val="center"/>
              <w:rPr>
                <w:rFonts w:asciiTheme="minorEastAsia" w:eastAsiaTheme="minorEastAsia" w:hAnsiTheme="minorEastAsia" w:cstheme="minorEastAsia"/>
                <w:sz w:val="21"/>
                <w:szCs w:val="21"/>
              </w:rPr>
            </w:pPr>
          </w:p>
        </w:tc>
      </w:tr>
    </w:tbl>
    <w:p w:rsidR="00E37FDF" w:rsidRDefault="00A73B34">
      <w:pPr>
        <w:adjustRightInd w:val="0"/>
        <w:snapToGrid w:val="0"/>
        <w:spacing w:beforeLines="10" w:before="31" w:afterLines="10" w:after="31" w:line="440" w:lineRule="exact"/>
        <w:ind w:firstLineChars="200"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备注：</w:t>
      </w:r>
      <w:r>
        <w:rPr>
          <w:rFonts w:asciiTheme="minorEastAsia" w:eastAsiaTheme="minorEastAsia" w:hAnsiTheme="minorEastAsia" w:cstheme="minorEastAsia" w:hint="eastAsia"/>
          <w:bCs/>
          <w:sz w:val="21"/>
          <w:szCs w:val="21"/>
        </w:rPr>
        <w:fldChar w:fldCharType="begin"/>
      </w:r>
      <w:r>
        <w:rPr>
          <w:rFonts w:asciiTheme="minorEastAsia" w:eastAsiaTheme="minorEastAsia" w:hAnsiTheme="minorEastAsia" w:cstheme="minorEastAsia" w:hint="eastAsia"/>
          <w:bCs/>
          <w:sz w:val="21"/>
          <w:szCs w:val="21"/>
        </w:rPr>
        <w:instrText xml:space="preserve"> = 1 \* GB3 </w:instrText>
      </w:r>
      <w:r>
        <w:rPr>
          <w:rFonts w:asciiTheme="minorEastAsia" w:eastAsiaTheme="minorEastAsia" w:hAnsiTheme="minorEastAsia" w:cstheme="minorEastAsia" w:hint="eastAsia"/>
          <w:bCs/>
          <w:sz w:val="21"/>
          <w:szCs w:val="21"/>
        </w:rPr>
        <w:fldChar w:fldCharType="separate"/>
      </w:r>
      <w:r>
        <w:rPr>
          <w:rFonts w:asciiTheme="minorEastAsia" w:eastAsiaTheme="minorEastAsia" w:hAnsiTheme="minorEastAsia" w:cstheme="minorEastAsia" w:hint="eastAsia"/>
          <w:bCs/>
          <w:sz w:val="21"/>
          <w:szCs w:val="21"/>
        </w:rPr>
        <w:t>1.</w:t>
      </w:r>
      <w:r>
        <w:rPr>
          <w:rFonts w:asciiTheme="minorEastAsia" w:eastAsiaTheme="minorEastAsia" w:hAnsiTheme="minorEastAsia" w:cstheme="minorEastAsia" w:hint="eastAsia"/>
          <w:bCs/>
          <w:sz w:val="21"/>
          <w:szCs w:val="21"/>
        </w:rPr>
        <w:fldChar w:fldCharType="end"/>
      </w:r>
      <w:r>
        <w:rPr>
          <w:rFonts w:asciiTheme="minorEastAsia" w:eastAsiaTheme="minorEastAsia" w:hAnsiTheme="minorEastAsia" w:cstheme="minorEastAsia" w:hint="eastAsia"/>
          <w:bCs/>
          <w:sz w:val="21"/>
          <w:szCs w:val="21"/>
        </w:rPr>
        <w:t>检验项目序号</w:t>
      </w:r>
      <w:r>
        <w:rPr>
          <w:rFonts w:asciiTheme="minorEastAsia" w:eastAsiaTheme="minorEastAsia" w:hAnsiTheme="minorEastAsia" w:cstheme="minorEastAsia" w:hint="eastAsia"/>
          <w:bCs/>
          <w:sz w:val="21"/>
          <w:szCs w:val="21"/>
        </w:rPr>
        <w:t>1</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31</w:t>
      </w:r>
      <w:r>
        <w:rPr>
          <w:rFonts w:asciiTheme="minorEastAsia" w:eastAsiaTheme="minorEastAsia" w:hAnsiTheme="minorEastAsia" w:cstheme="minorEastAsia" w:hint="eastAsia"/>
          <w:bCs/>
          <w:sz w:val="21"/>
          <w:szCs w:val="21"/>
        </w:rPr>
        <w:t>应按</w:t>
      </w:r>
      <w:r>
        <w:rPr>
          <w:rFonts w:asciiTheme="minorEastAsia" w:eastAsiaTheme="minorEastAsia" w:hAnsiTheme="minorEastAsia" w:cstheme="minorEastAsia" w:hint="eastAsia"/>
          <w:bCs/>
          <w:sz w:val="21"/>
          <w:szCs w:val="21"/>
        </w:rPr>
        <w:t>GB 6675.2-2014 4.1</w:t>
      </w:r>
      <w:r>
        <w:rPr>
          <w:rFonts w:asciiTheme="minorEastAsia" w:eastAsiaTheme="minorEastAsia" w:hAnsiTheme="minorEastAsia" w:cstheme="minorEastAsia" w:hint="eastAsia"/>
          <w:bCs/>
          <w:sz w:val="21"/>
          <w:szCs w:val="21"/>
        </w:rPr>
        <w:t>和</w:t>
      </w:r>
      <w:r>
        <w:rPr>
          <w:rFonts w:asciiTheme="minorEastAsia" w:eastAsiaTheme="minorEastAsia" w:hAnsiTheme="minorEastAsia" w:cstheme="minorEastAsia" w:hint="eastAsia"/>
          <w:bCs/>
          <w:sz w:val="21"/>
          <w:szCs w:val="21"/>
        </w:rPr>
        <w:t>4.2</w:t>
      </w:r>
      <w:r>
        <w:rPr>
          <w:rFonts w:asciiTheme="minorEastAsia" w:eastAsiaTheme="minorEastAsia" w:hAnsiTheme="minorEastAsia" w:cstheme="minorEastAsia" w:hint="eastAsia"/>
          <w:bCs/>
          <w:sz w:val="21"/>
          <w:szCs w:val="21"/>
        </w:rPr>
        <w:t>要求对适用项目进行检测。</w:t>
      </w:r>
    </w:p>
    <w:p w:rsidR="00E37FDF" w:rsidRDefault="00A73B34">
      <w:pPr>
        <w:adjustRightInd w:val="0"/>
        <w:snapToGrid w:val="0"/>
        <w:spacing w:beforeLines="10" w:before="31" w:afterLines="10" w:after="31" w:line="440" w:lineRule="exact"/>
        <w:ind w:firstLineChars="200"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fldChar w:fldCharType="begin"/>
      </w:r>
      <w:r>
        <w:rPr>
          <w:rFonts w:asciiTheme="minorEastAsia" w:eastAsiaTheme="minorEastAsia" w:hAnsiTheme="minorEastAsia" w:cstheme="minorEastAsia" w:hint="eastAsia"/>
          <w:bCs/>
          <w:sz w:val="21"/>
          <w:szCs w:val="21"/>
        </w:rPr>
        <w:instrText xml:space="preserve"> = 2 \* GB3 </w:instrText>
      </w:r>
      <w:r>
        <w:rPr>
          <w:rFonts w:asciiTheme="minorEastAsia" w:eastAsiaTheme="minorEastAsia" w:hAnsiTheme="minorEastAsia" w:cstheme="minorEastAsia" w:hint="eastAsia"/>
          <w:bCs/>
          <w:sz w:val="21"/>
          <w:szCs w:val="21"/>
        </w:rPr>
        <w:fldChar w:fldCharType="separate"/>
      </w:r>
      <w:r>
        <w:rPr>
          <w:rFonts w:asciiTheme="minorEastAsia" w:eastAsiaTheme="minorEastAsia" w:hAnsiTheme="minorEastAsia" w:cstheme="minorEastAsia" w:hint="eastAsia"/>
          <w:bCs/>
          <w:sz w:val="21"/>
          <w:szCs w:val="21"/>
        </w:rPr>
        <w:t>2.</w:t>
      </w:r>
      <w:r>
        <w:rPr>
          <w:rFonts w:asciiTheme="minorEastAsia" w:eastAsiaTheme="minorEastAsia" w:hAnsiTheme="minorEastAsia" w:cstheme="minorEastAsia" w:hint="eastAsia"/>
          <w:bCs/>
          <w:sz w:val="21"/>
          <w:szCs w:val="21"/>
        </w:rPr>
        <w:fldChar w:fldCharType="end"/>
      </w:r>
      <w:r>
        <w:rPr>
          <w:rFonts w:asciiTheme="minorEastAsia" w:eastAsiaTheme="minorEastAsia" w:hAnsiTheme="minorEastAsia" w:cstheme="minorEastAsia" w:hint="eastAsia"/>
          <w:bCs/>
          <w:sz w:val="21"/>
          <w:szCs w:val="21"/>
        </w:rPr>
        <w:t>当检验项目中含多个子项目时，标识类的子项目其重要程度为较重要项，仅标识类子项目不合格时，对应的检验项目不合格程度酌情下调。</w:t>
      </w:r>
    </w:p>
    <w:p w:rsidR="00E37FDF" w:rsidRDefault="00A73B34">
      <w:pPr>
        <w:adjustRightInd w:val="0"/>
        <w:snapToGrid w:val="0"/>
        <w:spacing w:beforeLines="10" w:before="31" w:afterLines="10" w:after="31" w:line="440" w:lineRule="exact"/>
        <w:ind w:firstLineChars="200"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3.GB 19865</w:t>
      </w:r>
      <w:r>
        <w:rPr>
          <w:rFonts w:asciiTheme="minorEastAsia" w:eastAsiaTheme="minorEastAsia" w:hAnsiTheme="minorEastAsia" w:cstheme="minorEastAsia" w:hint="eastAsia"/>
          <w:bCs/>
          <w:sz w:val="21"/>
          <w:szCs w:val="21"/>
        </w:rPr>
        <w:t>测试前应按标准第</w:t>
      </w:r>
      <w:r>
        <w:rPr>
          <w:rFonts w:asciiTheme="minorEastAsia" w:eastAsiaTheme="minorEastAsia" w:hAnsiTheme="minorEastAsia" w:cstheme="minorEastAsia" w:hint="eastAsia"/>
          <w:bCs/>
          <w:sz w:val="21"/>
          <w:szCs w:val="21"/>
        </w:rPr>
        <w:t>5</w:t>
      </w:r>
      <w:r>
        <w:rPr>
          <w:rFonts w:asciiTheme="minorEastAsia" w:eastAsiaTheme="minorEastAsia" w:hAnsiTheme="minorEastAsia" w:cstheme="minorEastAsia" w:hint="eastAsia"/>
          <w:bCs/>
          <w:sz w:val="21"/>
          <w:szCs w:val="21"/>
        </w:rPr>
        <w:t>章进行预处理。</w:t>
      </w:r>
    </w:p>
    <w:p w:rsidR="00E37FDF" w:rsidRDefault="00A73B34">
      <w:pPr>
        <w:adjustRightInd w:val="0"/>
        <w:snapToGrid w:val="0"/>
        <w:spacing w:beforeLines="10" w:before="31" w:afterLines="10" w:after="31" w:line="440" w:lineRule="exact"/>
        <w:ind w:firstLineChars="200"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lastRenderedPageBreak/>
        <w:t>4.</w:t>
      </w:r>
      <w:r>
        <w:rPr>
          <w:rFonts w:asciiTheme="minorEastAsia" w:eastAsiaTheme="minorEastAsia" w:hAnsiTheme="minorEastAsia" w:cstheme="minorEastAsia" w:hint="eastAsia"/>
          <w:bCs/>
          <w:sz w:val="21"/>
          <w:szCs w:val="21"/>
        </w:rPr>
        <w:t>邻苯二甲酸酯增塑剂项目的检测方法</w:t>
      </w:r>
      <w:r>
        <w:rPr>
          <w:rFonts w:asciiTheme="minorEastAsia" w:eastAsiaTheme="minorEastAsia" w:hAnsiTheme="minorEastAsia" w:cstheme="minorEastAsia" w:hint="eastAsia"/>
          <w:bCs/>
          <w:sz w:val="21"/>
          <w:szCs w:val="21"/>
        </w:rPr>
        <w:t>采用</w:t>
      </w:r>
      <w:r>
        <w:rPr>
          <w:rFonts w:asciiTheme="minorEastAsia" w:eastAsiaTheme="minorEastAsia" w:hAnsiTheme="minorEastAsia" w:cstheme="minorEastAsia" w:hint="eastAsia"/>
          <w:bCs/>
          <w:sz w:val="21"/>
          <w:szCs w:val="21"/>
        </w:rPr>
        <w:t>GB/T 22048-2022</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 xml:space="preserve"> </w:t>
      </w:r>
    </w:p>
    <w:p w:rsidR="00E37FDF" w:rsidRDefault="00A73B34">
      <w:pPr>
        <w:adjustRightInd w:val="0"/>
        <w:snapToGrid w:val="0"/>
        <w:spacing w:beforeLines="10" w:before="31" w:afterLines="10" w:after="31" w:line="44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rPr>
        <w:t>5</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本细则所指的玩具为塑胶玩具、弹射玩具、毛绒布制玩具、电玩具、儿童地垫、化学及类似实验玩具、泡泡水、乘骑车辆玩具</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除电动童车</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、充气水上玩具</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除儿童泳圈</w:t>
      </w:r>
      <w:r>
        <w:rPr>
          <w:rFonts w:asciiTheme="minorEastAsia" w:eastAsiaTheme="minorEastAsia" w:hAnsiTheme="minorEastAsia" w:cstheme="minorEastAsia" w:hint="eastAsia"/>
          <w:bCs/>
          <w:sz w:val="21"/>
          <w:szCs w:val="21"/>
        </w:rPr>
        <w:t>)</w:t>
      </w:r>
      <w:r>
        <w:rPr>
          <w:rFonts w:asciiTheme="minorEastAsia" w:eastAsiaTheme="minorEastAsia" w:hAnsiTheme="minorEastAsia" w:cstheme="minorEastAsia" w:hint="eastAsia"/>
          <w:bCs/>
          <w:sz w:val="21"/>
          <w:szCs w:val="21"/>
        </w:rPr>
        <w:t>、磁性玩具、儿童爬行地垫、附赠玩具、金属玩具、木制玩具、</w:t>
      </w:r>
      <w:proofErr w:type="gramStart"/>
      <w:r>
        <w:rPr>
          <w:rFonts w:asciiTheme="minorEastAsia" w:eastAsiaTheme="minorEastAsia" w:hAnsiTheme="minorEastAsia" w:cstheme="minorEastAsia" w:hint="eastAsia"/>
          <w:bCs/>
          <w:sz w:val="21"/>
          <w:szCs w:val="21"/>
        </w:rPr>
        <w:t>泥类玩具</w:t>
      </w:r>
      <w:proofErr w:type="gramEnd"/>
      <w:r>
        <w:rPr>
          <w:rFonts w:asciiTheme="minorEastAsia" w:eastAsiaTheme="minorEastAsia" w:hAnsiTheme="minorEastAsia" w:cstheme="minorEastAsia" w:hint="eastAsia"/>
          <w:bCs/>
          <w:sz w:val="21"/>
          <w:szCs w:val="21"/>
        </w:rPr>
        <w:t>、娃娃玩具、造型粘土、纸质玩具等。</w:t>
      </w:r>
    </w:p>
    <w:p w:rsidR="00E37FDF" w:rsidRDefault="00A73B34">
      <w:pPr>
        <w:snapToGrid w:val="0"/>
        <w:spacing w:line="440" w:lineRule="exact"/>
        <w:ind w:firstLineChars="200" w:firstLine="420"/>
        <w:rPr>
          <w:rFonts w:eastAsia="黑体"/>
          <w:color w:val="000000"/>
          <w:sz w:val="21"/>
          <w:szCs w:val="21"/>
        </w:rPr>
      </w:pPr>
      <w:r>
        <w:rPr>
          <w:rFonts w:eastAsia="黑体" w:hint="eastAsia"/>
          <w:color w:val="000000"/>
          <w:sz w:val="21"/>
          <w:szCs w:val="21"/>
        </w:rPr>
        <w:t>三、判定规则</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（一）依据标准</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GB 6675.1-2014 </w:t>
      </w:r>
      <w:r>
        <w:rPr>
          <w:rFonts w:asciiTheme="minorEastAsia" w:eastAsiaTheme="minorEastAsia" w:hAnsiTheme="minorEastAsia" w:cstheme="minorEastAsia" w:hint="eastAsia"/>
          <w:sz w:val="21"/>
          <w:szCs w:val="21"/>
        </w:rPr>
        <w:t>《玩具安全第</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部分：基本规范》</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GB 6675.2-2014 </w:t>
      </w:r>
      <w:r>
        <w:rPr>
          <w:rFonts w:asciiTheme="minorEastAsia" w:eastAsiaTheme="minorEastAsia" w:hAnsiTheme="minorEastAsia" w:cstheme="minorEastAsia" w:hint="eastAsia"/>
          <w:sz w:val="21"/>
          <w:szCs w:val="21"/>
        </w:rPr>
        <w:t>《玩具安全第</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部分：机械与物理性能》（含第</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号修改单）</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GB 6675.3-2014 </w:t>
      </w:r>
      <w:r>
        <w:rPr>
          <w:rFonts w:asciiTheme="minorEastAsia" w:eastAsiaTheme="minorEastAsia" w:hAnsiTheme="minorEastAsia" w:cstheme="minorEastAsia" w:hint="eastAsia"/>
          <w:sz w:val="21"/>
          <w:szCs w:val="21"/>
        </w:rPr>
        <w:t>《玩具安全第</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部分：易燃性能》</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GB 6675.4</w:t>
      </w:r>
      <w:r>
        <w:rPr>
          <w:rFonts w:asciiTheme="minorEastAsia" w:eastAsiaTheme="minorEastAsia" w:hAnsiTheme="minorEastAsia" w:cstheme="minorEastAsia" w:hint="eastAsia"/>
          <w:sz w:val="21"/>
          <w:szCs w:val="21"/>
        </w:rPr>
        <w:t xml:space="preserve">-2014 </w:t>
      </w:r>
      <w:r>
        <w:rPr>
          <w:rFonts w:asciiTheme="minorEastAsia" w:eastAsiaTheme="minorEastAsia" w:hAnsiTheme="minorEastAsia" w:cstheme="minorEastAsia" w:hint="eastAsia"/>
          <w:sz w:val="21"/>
          <w:szCs w:val="21"/>
        </w:rPr>
        <w:t>《玩具安全第</w:t>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部分：特定元素的迁移》</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GB 19865-2005</w:t>
      </w:r>
      <w:r>
        <w:rPr>
          <w:rFonts w:asciiTheme="minorEastAsia" w:eastAsiaTheme="minorEastAsia" w:hAnsiTheme="minorEastAsia" w:cstheme="minorEastAsia" w:hint="eastAsia"/>
          <w:sz w:val="21"/>
          <w:szCs w:val="21"/>
        </w:rPr>
        <w:t>《电玩具的安全》（含第</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号修改单）（适用于带电玩具）</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GB 6675.12-2014 </w:t>
      </w:r>
      <w:r>
        <w:rPr>
          <w:rFonts w:asciiTheme="minorEastAsia" w:eastAsiaTheme="minorEastAsia" w:hAnsiTheme="minorEastAsia" w:cstheme="minorEastAsia" w:hint="eastAsia"/>
          <w:sz w:val="21"/>
          <w:szCs w:val="21"/>
        </w:rPr>
        <w:t>《玩具安全第</w:t>
      </w:r>
      <w:r>
        <w:rPr>
          <w:rFonts w:asciiTheme="minorEastAsia" w:eastAsiaTheme="minorEastAsia" w:hAnsiTheme="minorEastAsia" w:cstheme="minorEastAsia" w:hint="eastAsia"/>
          <w:sz w:val="21"/>
          <w:szCs w:val="21"/>
        </w:rPr>
        <w:t>12</w:t>
      </w:r>
      <w:r>
        <w:rPr>
          <w:rFonts w:asciiTheme="minorEastAsia" w:eastAsiaTheme="minorEastAsia" w:hAnsiTheme="minorEastAsia" w:cstheme="minorEastAsia" w:hint="eastAsia"/>
          <w:sz w:val="21"/>
          <w:szCs w:val="21"/>
        </w:rPr>
        <w:t>部分：玩具滑板车》（适用于玩具滑板车）</w:t>
      </w:r>
    </w:p>
    <w:p w:rsidR="00E37FDF" w:rsidRDefault="00A73B34">
      <w:pPr>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GB 26387-2011</w:t>
      </w:r>
      <w:r>
        <w:rPr>
          <w:rFonts w:asciiTheme="minorEastAsia" w:eastAsiaTheme="minorEastAsia" w:hAnsiTheme="minorEastAsia" w:cstheme="minorEastAsia" w:hint="eastAsia"/>
          <w:sz w:val="21"/>
          <w:szCs w:val="21"/>
        </w:rPr>
        <w:t>《玩具安全化学及类似活动的实验玩具》</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现行有效的企业标准、团体标准、地方标准及产品明示质量要求。</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（二）判定原则</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经检验，检验项目全部合格，判定为抽取的样本所检项目未检出不合格；检验项目中任一项或一项以上不合格，判定为被抽查产品不合格。</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当被检样品明示的质量要求优于监</w:t>
      </w:r>
      <w:r>
        <w:rPr>
          <w:rFonts w:asciiTheme="minorEastAsia" w:eastAsiaTheme="minorEastAsia" w:hAnsiTheme="minorEastAsia" w:cstheme="minorEastAsia" w:hint="eastAsia"/>
          <w:sz w:val="21"/>
          <w:szCs w:val="21"/>
        </w:rPr>
        <w:t>督抽查实施细则中依据的标准要求时，应按被检样品明示的质量要求判定；</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当被检样品明示的质量要求劣于或不包含监督抽查实施细则中依据的强制性标准要求时，应按照强制性标准要求判定；</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当被检样品未能提供有效的企业标准时，按相关国家或行业标准进行判定；</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Theme="minorEastAsia" w:eastAsiaTheme="minorEastAsia" w:hAnsiTheme="minorEastAsia" w:cstheme="minorEastAsia" w:hint="eastAsia"/>
          <w:sz w:val="21"/>
          <w:szCs w:val="21"/>
        </w:rPr>
        <w:t>作出</w:t>
      </w:r>
      <w:proofErr w:type="gramEnd"/>
      <w:r>
        <w:rPr>
          <w:rFonts w:asciiTheme="minorEastAsia" w:eastAsiaTheme="minorEastAsia" w:hAnsiTheme="minorEastAsia" w:cstheme="minorEastAsia" w:hint="eastAsia"/>
          <w:sz w:val="21"/>
          <w:szCs w:val="21"/>
        </w:rPr>
        <w:t>相关说明；</w:t>
      </w:r>
    </w:p>
    <w:p w:rsidR="00E37FDF" w:rsidRDefault="00A73B34">
      <w:pPr>
        <w:widowControl/>
        <w:adjustRightInd w:val="0"/>
        <w:snapToGrid w:val="0"/>
        <w:spacing w:line="600" w:lineRule="exact"/>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按照产品质量相关法律法规的规定判定。</w:t>
      </w:r>
    </w:p>
    <w:p w:rsidR="00E37FDF" w:rsidRDefault="00A73B34">
      <w:pPr>
        <w:widowControl/>
        <w:spacing w:line="600" w:lineRule="exact"/>
        <w:ind w:firstLineChars="200" w:firstLine="420"/>
        <w:rPr>
          <w:rFonts w:asciiTheme="minorEastAsia" w:eastAsiaTheme="minorEastAsia" w:hAnsiTheme="minorEastAsia" w:cstheme="minorEastAsia"/>
          <w:kern w:val="0"/>
          <w:sz w:val="21"/>
          <w:szCs w:val="21"/>
        </w:rPr>
      </w:pPr>
      <w:r>
        <w:rPr>
          <w:rFonts w:asciiTheme="minorEastAsia" w:eastAsiaTheme="minorEastAsia" w:hAnsiTheme="minorEastAsia" w:cstheme="minorEastAsia" w:hint="eastAsia"/>
          <w:sz w:val="21"/>
          <w:szCs w:val="21"/>
        </w:rPr>
        <w:t>检验中发现因样品失效或者其他原因致使检验无法进行的，检验人员应如实记录，并提供相关证明材料，报送组织监督抽查的市场监管部门</w:t>
      </w:r>
      <w:r>
        <w:rPr>
          <w:rFonts w:asciiTheme="minorEastAsia" w:eastAsiaTheme="minorEastAsia" w:hAnsiTheme="minorEastAsia" w:cstheme="minorEastAsia" w:hint="eastAsia"/>
          <w:kern w:val="0"/>
          <w:sz w:val="21"/>
          <w:szCs w:val="21"/>
        </w:rPr>
        <w:t>。</w:t>
      </w:r>
    </w:p>
    <w:p w:rsidR="00E37FDF" w:rsidRDefault="00E37FDF">
      <w:pPr>
        <w:rPr>
          <w:rFonts w:asciiTheme="minorEastAsia" w:eastAsiaTheme="minorEastAsia" w:hAnsiTheme="minorEastAsia" w:cstheme="minorEastAsia"/>
          <w:sz w:val="21"/>
          <w:szCs w:val="21"/>
        </w:rPr>
      </w:pPr>
    </w:p>
    <w:sectPr w:rsidR="00E37F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rson w15:author="38368">
    <w15:presenceInfo w15:providerId="None" w15:userId="38368"/>
  </w15:person>
  <w15:person w15:author="张美艳">
    <w15:presenceInfo w15:providerId="None" w15:userId="张美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ZmY1ODNmNDMyYjQ5NWNmOTU3NTQzZTVjOTNkMjAifQ=="/>
  </w:docVars>
  <w:rsids>
    <w:rsidRoot w:val="004A7D02"/>
    <w:rsid w:val="AEED5919"/>
    <w:rsid w:val="DFEB83DB"/>
    <w:rsid w:val="000561EE"/>
    <w:rsid w:val="001258B2"/>
    <w:rsid w:val="003228FE"/>
    <w:rsid w:val="004A7D02"/>
    <w:rsid w:val="0062678B"/>
    <w:rsid w:val="00A73B34"/>
    <w:rsid w:val="00C9542E"/>
    <w:rsid w:val="00D626FF"/>
    <w:rsid w:val="00E37FDF"/>
    <w:rsid w:val="02123CF8"/>
    <w:rsid w:val="2AC17AEB"/>
    <w:rsid w:val="39A810E0"/>
    <w:rsid w:val="6EF57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uiPriority w:val="9"/>
    <w:qFormat/>
    <w:pPr>
      <w:jc w:val="center"/>
      <w:outlineLvl w:val="0"/>
    </w:pPr>
    <w:rPr>
      <w:rFonts w:ascii="方正小标宋简体" w:eastAsia="方正小标宋简体"/>
      <w:kern w:val="44"/>
      <w:sz w:val="3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宋体"/>
      <w:szCs w:val="21"/>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3Char">
    <w:name w:val="标题 3 Char"/>
    <w:basedOn w:val="a0"/>
    <w:link w:val="3"/>
    <w:uiPriority w:val="9"/>
    <w:semiHidden/>
    <w:qFormat/>
    <w:rPr>
      <w:rFonts w:ascii="Times New Roman" w:eastAsia="仿宋_GB2312" w:hAnsi="Times New Roman" w:cs="Times New Roman"/>
      <w:b/>
      <w:bCs/>
      <w:sz w:val="32"/>
      <w:szCs w:val="32"/>
    </w:rPr>
  </w:style>
  <w:style w:type="paragraph" w:styleId="a6">
    <w:name w:val="Balloon Text"/>
    <w:basedOn w:val="a"/>
    <w:link w:val="Char1"/>
    <w:uiPriority w:val="99"/>
    <w:semiHidden/>
    <w:unhideWhenUsed/>
    <w:rsid w:val="00A73B34"/>
    <w:rPr>
      <w:sz w:val="18"/>
      <w:szCs w:val="18"/>
    </w:rPr>
  </w:style>
  <w:style w:type="character" w:customStyle="1" w:styleId="Char1">
    <w:name w:val="批注框文本 Char"/>
    <w:basedOn w:val="a0"/>
    <w:link w:val="a6"/>
    <w:uiPriority w:val="99"/>
    <w:semiHidden/>
    <w:rsid w:val="00A73B34"/>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uiPriority w:val="9"/>
    <w:qFormat/>
    <w:pPr>
      <w:jc w:val="center"/>
      <w:outlineLvl w:val="0"/>
    </w:pPr>
    <w:rPr>
      <w:rFonts w:ascii="方正小标宋简体" w:eastAsia="方正小标宋简体"/>
      <w:kern w:val="44"/>
      <w:sz w:val="3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宋体"/>
      <w:szCs w:val="21"/>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3Char">
    <w:name w:val="标题 3 Char"/>
    <w:basedOn w:val="a0"/>
    <w:link w:val="3"/>
    <w:uiPriority w:val="9"/>
    <w:semiHidden/>
    <w:qFormat/>
    <w:rPr>
      <w:rFonts w:ascii="Times New Roman" w:eastAsia="仿宋_GB2312" w:hAnsi="Times New Roman" w:cs="Times New Roman"/>
      <w:b/>
      <w:bCs/>
      <w:sz w:val="32"/>
      <w:szCs w:val="32"/>
    </w:rPr>
  </w:style>
  <w:style w:type="paragraph" w:styleId="a6">
    <w:name w:val="Balloon Text"/>
    <w:basedOn w:val="a"/>
    <w:link w:val="Char1"/>
    <w:uiPriority w:val="99"/>
    <w:semiHidden/>
    <w:unhideWhenUsed/>
    <w:rsid w:val="00A73B34"/>
    <w:rPr>
      <w:sz w:val="18"/>
      <w:szCs w:val="18"/>
    </w:rPr>
  </w:style>
  <w:style w:type="character" w:customStyle="1" w:styleId="Char1">
    <w:name w:val="批注框文本 Char"/>
    <w:basedOn w:val="a0"/>
    <w:link w:val="a6"/>
    <w:uiPriority w:val="99"/>
    <w:semiHidden/>
    <w:rsid w:val="00A73B34"/>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张美艳</dc:creator>
  <cp:lastModifiedBy>张美艳</cp:lastModifiedBy>
  <cp:revision>7</cp:revision>
  <dcterms:created xsi:type="dcterms:W3CDTF">2023-05-27T21:09:00Z</dcterms:created>
  <dcterms:modified xsi:type="dcterms:W3CDTF">2023-08-14T02:30:00Z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A4CE75FBB6874A6485909FCAD0626C47_12</vt:lpwstr>
  </property>
</Properties>
</file>