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both"/>
        <w:rPr>
          <w:rFonts w:hint="eastAsia" w:ascii="Times New Roman" w:hAnsi="Times New Roman" w:eastAsia="方正小标宋简体"/>
          <w:color w:val="000000"/>
          <w:sz w:val="32"/>
          <w:szCs w:val="32"/>
          <w:lang w:val="en-US" w:eastAsia="zh-CN"/>
        </w:rPr>
      </w:pPr>
      <w:r>
        <w:rPr>
          <w:rFonts w:hint="default" w:ascii="Times New Roman" w:hAnsi="Times New Roman" w:eastAsia="方正小标宋简体"/>
          <w:color w:val="000000"/>
          <w:sz w:val="32"/>
          <w:szCs w:val="32"/>
          <w:lang w:val="en-US" w:eastAsia="zh-CN"/>
        </w:rPr>
        <w:t>附件</w:t>
      </w:r>
      <w:r>
        <w:rPr>
          <w:rFonts w:hint="eastAsia" w:ascii="Times New Roman" w:hAnsi="Times New Roman" w:eastAsia="方正小标宋简体"/>
          <w:color w:val="000000"/>
          <w:sz w:val="32"/>
          <w:szCs w:val="32"/>
          <w:lang w:val="en-US" w:eastAsia="zh-CN"/>
        </w:rPr>
        <w:t>2</w:t>
      </w:r>
    </w:p>
    <w:p>
      <w:pPr>
        <w:adjustRightInd w:val="0"/>
        <w:snapToGrid w:val="0"/>
        <w:spacing w:line="594" w:lineRule="exact"/>
        <w:jc w:val="center"/>
        <w:rPr>
          <w:rFonts w:hint="eastAsia" w:ascii="Times New Roman" w:hAnsi="Times New Roman" w:eastAsia="方正小标宋简体"/>
          <w:color w:val="000000"/>
          <w:sz w:val="32"/>
          <w:szCs w:val="32"/>
          <w:lang w:val="en-US" w:eastAsia="zh-CN"/>
        </w:rPr>
      </w:pPr>
    </w:p>
    <w:p>
      <w:pPr>
        <w:adjustRightInd w:val="0"/>
        <w:snapToGrid w:val="0"/>
        <w:spacing w:line="594" w:lineRule="exact"/>
        <w:jc w:val="center"/>
        <w:rPr>
          <w:rFonts w:hint="eastAsia" w:ascii="Times New Roman" w:hAnsi="Times New Roman" w:eastAsia="方正小标宋简体"/>
          <w:color w:val="000000"/>
          <w:sz w:val="32"/>
          <w:szCs w:val="32"/>
          <w:lang w:val="en-US" w:eastAsia="zh-CN"/>
        </w:rPr>
      </w:pPr>
      <w:r>
        <w:rPr>
          <w:rFonts w:hint="eastAsia" w:ascii="Times New Roman" w:hAnsi="Times New Roman" w:eastAsia="方正小标宋简体"/>
          <w:color w:val="000000"/>
          <w:sz w:val="32"/>
          <w:szCs w:val="32"/>
          <w:lang w:val="en-US" w:eastAsia="zh-CN"/>
        </w:rPr>
        <w:t>梅州市车用尿素水溶液产品质量监督抽查实施细则</w:t>
      </w:r>
    </w:p>
    <w:p>
      <w:pPr>
        <w:snapToGrid w:val="0"/>
        <w:spacing w:line="440" w:lineRule="exact"/>
        <w:ind w:firstLine="420" w:firstLineChars="200"/>
        <w:rPr>
          <w:rFonts w:hint="eastAsia" w:eastAsia="黑体"/>
          <w:color w:val="000000"/>
          <w:sz w:val="21"/>
          <w:szCs w:val="21"/>
        </w:rPr>
      </w:pPr>
      <w:r>
        <w:rPr>
          <w:rFonts w:hint="eastAsia" w:eastAsia="黑体"/>
          <w:color w:val="000000"/>
          <w:sz w:val="21"/>
          <w:szCs w:val="21"/>
        </w:rPr>
        <w:t>一、抽样方法</w:t>
      </w:r>
    </w:p>
    <w:p>
      <w:pPr>
        <w:spacing w:line="6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以随机抽样的方式在被抽样经营者的待销产品中抽取。</w:t>
      </w:r>
    </w:p>
    <w:p>
      <w:pPr>
        <w:spacing w:line="6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随机数一般可使用随机数表等方法产生。</w:t>
      </w:r>
    </w:p>
    <w:p>
      <w:pPr>
        <w:spacing w:line="6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抽查数量：每款产品抽取2组独立包装的样本，第1组用于检验，第2组用于备样。每组样本数量不少于1L。</w:t>
      </w:r>
    </w:p>
    <w:p>
      <w:pPr>
        <w:spacing w:line="6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抽样方法如下：按产品独立包装直接抽取。将抽取的样品密封，贴上样品标签，加封封条，检样由抽样人员带回承检机构，备样封存于被抽样市场主体，应妥善保存。抽不到样品的情况须说明原因、拍照或录像取证。</w:t>
      </w:r>
    </w:p>
    <w:p>
      <w:pPr>
        <w:spacing w:line="600" w:lineRule="exact"/>
        <w:ind w:firstLine="420" w:firstLineChars="200"/>
        <w:rPr>
          <w:rFonts w:hint="eastAsia" w:asciiTheme="minorEastAsia" w:hAnsiTheme="minorEastAsia" w:eastAsiaTheme="minorEastAsia" w:cstheme="minorEastAsia"/>
          <w:color w:val="000000"/>
          <w:sz w:val="21"/>
          <w:szCs w:val="21"/>
        </w:rPr>
      </w:pPr>
      <w:r>
        <w:rPr>
          <w:rFonts w:hint="eastAsia" w:eastAsia="黑体"/>
          <w:color w:val="000000"/>
          <w:sz w:val="21"/>
          <w:szCs w:val="21"/>
        </w:rPr>
        <w:t>二、主要检验项目及检验项目属性划分</w:t>
      </w:r>
    </w:p>
    <w:tbl>
      <w:tblPr>
        <w:tblStyle w:val="5"/>
        <w:tblW w:w="9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831"/>
        <w:gridCol w:w="2035"/>
        <w:gridCol w:w="2701"/>
        <w:gridCol w:w="734"/>
        <w:gridCol w:w="651"/>
        <w:gridCol w:w="651"/>
        <w:gridCol w:w="651"/>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blHeader/>
          <w:jc w:val="center"/>
        </w:trPr>
        <w:tc>
          <w:tcPr>
            <w:tcW w:w="694" w:type="dxa"/>
            <w:vAlign w:val="center"/>
          </w:tcPr>
          <w:p>
            <w:pPr>
              <w:pStyle w:val="3"/>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序号</w:t>
            </w:r>
          </w:p>
        </w:tc>
        <w:tc>
          <w:tcPr>
            <w:tcW w:w="2866" w:type="dxa"/>
            <w:gridSpan w:val="2"/>
            <w:vAlign w:val="center"/>
          </w:tcPr>
          <w:p>
            <w:pPr>
              <w:pStyle w:val="3"/>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检验项目</w:t>
            </w:r>
          </w:p>
        </w:tc>
        <w:tc>
          <w:tcPr>
            <w:tcW w:w="2701" w:type="dxa"/>
            <w:vAlign w:val="center"/>
          </w:tcPr>
          <w:p>
            <w:pPr>
              <w:pStyle w:val="3"/>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检验方法</w:t>
            </w:r>
          </w:p>
        </w:tc>
        <w:tc>
          <w:tcPr>
            <w:tcW w:w="734" w:type="dxa"/>
            <w:vAlign w:val="center"/>
          </w:tcPr>
          <w:p>
            <w:pPr>
              <w:pStyle w:val="3"/>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强制性</w:t>
            </w:r>
          </w:p>
        </w:tc>
        <w:tc>
          <w:tcPr>
            <w:tcW w:w="651" w:type="dxa"/>
            <w:vAlign w:val="center"/>
          </w:tcPr>
          <w:p>
            <w:pPr>
              <w:pStyle w:val="3"/>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非强制性</w:t>
            </w:r>
          </w:p>
        </w:tc>
        <w:tc>
          <w:tcPr>
            <w:tcW w:w="651" w:type="dxa"/>
            <w:vAlign w:val="center"/>
          </w:tcPr>
          <w:p>
            <w:pPr>
              <w:pStyle w:val="3"/>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重要项</w:t>
            </w:r>
          </w:p>
        </w:tc>
        <w:tc>
          <w:tcPr>
            <w:tcW w:w="651" w:type="dxa"/>
            <w:vAlign w:val="center"/>
          </w:tcPr>
          <w:p>
            <w:pPr>
              <w:pStyle w:val="3"/>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较重要项</w:t>
            </w:r>
          </w:p>
        </w:tc>
        <w:tc>
          <w:tcPr>
            <w:tcW w:w="661" w:type="dxa"/>
            <w:vAlign w:val="center"/>
          </w:tcPr>
          <w:p>
            <w:pPr>
              <w:pStyle w:val="3"/>
              <w:jc w:val="center"/>
              <w:rPr>
                <w:rFonts w:hint="eastAsia" w:asciiTheme="minorEastAsia" w:hAnsiTheme="minorEastAsia" w:eastAsiaTheme="minorEastAsia" w:cstheme="minorEastAsia"/>
                <w:b/>
                <w:spacing w:val="-6"/>
                <w:sz w:val="21"/>
                <w:szCs w:val="21"/>
              </w:rPr>
            </w:pPr>
            <w:r>
              <w:rPr>
                <w:rFonts w:hint="eastAsia" w:asciiTheme="minorEastAsia" w:hAnsiTheme="minorEastAsia" w:eastAsiaTheme="minorEastAsia" w:cstheme="minorEastAsia"/>
                <w:b/>
                <w:spacing w:val="-6"/>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4" w:type="dxa"/>
            <w:vAlign w:val="center"/>
          </w:tcPr>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1</w:t>
            </w:r>
          </w:p>
        </w:tc>
        <w:tc>
          <w:tcPr>
            <w:tcW w:w="2866" w:type="dxa"/>
            <w:gridSpan w:val="2"/>
            <w:vAlign w:val="center"/>
          </w:tcPr>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尿素含量</w:t>
            </w:r>
          </w:p>
        </w:tc>
        <w:tc>
          <w:tcPr>
            <w:tcW w:w="2701" w:type="dxa"/>
            <w:vAlign w:val="center"/>
          </w:tcPr>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GB 29518-2013 附录A</w:t>
            </w:r>
          </w:p>
        </w:tc>
        <w:tc>
          <w:tcPr>
            <w:tcW w:w="734" w:type="dxa"/>
            <w:vAlign w:val="center"/>
          </w:tcPr>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p>
        </w:tc>
        <w:tc>
          <w:tcPr>
            <w:tcW w:w="651" w:type="dxa"/>
            <w:vAlign w:val="center"/>
          </w:tcPr>
          <w:p>
            <w:pPr>
              <w:pStyle w:val="3"/>
              <w:jc w:val="center"/>
              <w:rPr>
                <w:rFonts w:hint="eastAsia" w:asciiTheme="minorEastAsia" w:hAnsiTheme="minorEastAsia" w:eastAsiaTheme="minorEastAsia" w:cstheme="minorEastAsia"/>
                <w:spacing w:val="-6"/>
                <w:sz w:val="21"/>
                <w:szCs w:val="21"/>
              </w:rPr>
            </w:pPr>
          </w:p>
        </w:tc>
        <w:tc>
          <w:tcPr>
            <w:tcW w:w="651" w:type="dxa"/>
            <w:vAlign w:val="center"/>
          </w:tcPr>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p>
        </w:tc>
        <w:tc>
          <w:tcPr>
            <w:tcW w:w="651" w:type="dxa"/>
            <w:vAlign w:val="center"/>
          </w:tcPr>
          <w:p>
            <w:pPr>
              <w:pStyle w:val="3"/>
              <w:jc w:val="center"/>
              <w:rPr>
                <w:rFonts w:hint="eastAsia" w:asciiTheme="minorEastAsia" w:hAnsiTheme="minorEastAsia" w:eastAsiaTheme="minorEastAsia" w:cstheme="minorEastAsia"/>
                <w:spacing w:val="-6"/>
                <w:sz w:val="21"/>
                <w:szCs w:val="21"/>
              </w:rPr>
            </w:pPr>
          </w:p>
        </w:tc>
        <w:tc>
          <w:tcPr>
            <w:tcW w:w="661" w:type="dxa"/>
            <w:vAlign w:val="center"/>
          </w:tcPr>
          <w:p>
            <w:pPr>
              <w:pStyle w:val="3"/>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4" w:type="dxa"/>
            <w:vAlign w:val="center"/>
          </w:tcPr>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2</w:t>
            </w:r>
          </w:p>
        </w:tc>
        <w:tc>
          <w:tcPr>
            <w:tcW w:w="2866" w:type="dxa"/>
            <w:gridSpan w:val="2"/>
            <w:vAlign w:val="center"/>
          </w:tcPr>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折光率20nD</w:t>
            </w:r>
          </w:p>
        </w:tc>
        <w:tc>
          <w:tcPr>
            <w:tcW w:w="2701" w:type="dxa"/>
            <w:vAlign w:val="center"/>
          </w:tcPr>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GB/T 614-2021</w:t>
            </w:r>
          </w:p>
        </w:tc>
        <w:tc>
          <w:tcPr>
            <w:tcW w:w="734" w:type="dxa"/>
            <w:vAlign w:val="center"/>
          </w:tcPr>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p>
        </w:tc>
        <w:tc>
          <w:tcPr>
            <w:tcW w:w="651" w:type="dxa"/>
            <w:vAlign w:val="center"/>
          </w:tcPr>
          <w:p>
            <w:pPr>
              <w:pStyle w:val="3"/>
              <w:jc w:val="center"/>
              <w:rPr>
                <w:rFonts w:hint="eastAsia" w:asciiTheme="minorEastAsia" w:hAnsiTheme="minorEastAsia" w:eastAsiaTheme="minorEastAsia" w:cstheme="minorEastAsia"/>
                <w:spacing w:val="-6"/>
                <w:sz w:val="21"/>
                <w:szCs w:val="21"/>
              </w:rPr>
            </w:pPr>
          </w:p>
        </w:tc>
        <w:tc>
          <w:tcPr>
            <w:tcW w:w="651" w:type="dxa"/>
            <w:vAlign w:val="center"/>
          </w:tcPr>
          <w:p>
            <w:pPr>
              <w:pStyle w:val="3"/>
              <w:jc w:val="center"/>
              <w:rPr>
                <w:rFonts w:hint="eastAsia" w:asciiTheme="minorEastAsia" w:hAnsiTheme="minorEastAsia" w:eastAsiaTheme="minorEastAsia" w:cstheme="minorEastAsia"/>
                <w:spacing w:val="-6"/>
                <w:sz w:val="21"/>
                <w:szCs w:val="21"/>
              </w:rPr>
            </w:pPr>
          </w:p>
        </w:tc>
        <w:tc>
          <w:tcPr>
            <w:tcW w:w="651" w:type="dxa"/>
            <w:vAlign w:val="center"/>
          </w:tcPr>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p>
        </w:tc>
        <w:tc>
          <w:tcPr>
            <w:tcW w:w="661" w:type="dxa"/>
            <w:vAlign w:val="center"/>
          </w:tcPr>
          <w:p>
            <w:pPr>
              <w:pStyle w:val="3"/>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4" w:type="dxa"/>
            <w:vMerge w:val="restart"/>
            <w:vAlign w:val="center"/>
          </w:tcPr>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3</w:t>
            </w:r>
          </w:p>
        </w:tc>
        <w:tc>
          <w:tcPr>
            <w:tcW w:w="831" w:type="dxa"/>
            <w:vMerge w:val="restart"/>
            <w:vAlign w:val="center"/>
          </w:tcPr>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杂质</w:t>
            </w:r>
          </w:p>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含量</w:t>
            </w:r>
          </w:p>
        </w:tc>
        <w:tc>
          <w:tcPr>
            <w:tcW w:w="2035" w:type="dxa"/>
            <w:vAlign w:val="center"/>
          </w:tcPr>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缩二脲</w:t>
            </w:r>
          </w:p>
        </w:tc>
        <w:tc>
          <w:tcPr>
            <w:tcW w:w="2701" w:type="dxa"/>
            <w:vAlign w:val="center"/>
          </w:tcPr>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GB 29518-2013附录C</w:t>
            </w:r>
          </w:p>
        </w:tc>
        <w:tc>
          <w:tcPr>
            <w:tcW w:w="734" w:type="dxa"/>
            <w:vAlign w:val="center"/>
          </w:tcPr>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p>
        </w:tc>
        <w:tc>
          <w:tcPr>
            <w:tcW w:w="651" w:type="dxa"/>
            <w:vAlign w:val="center"/>
          </w:tcPr>
          <w:p>
            <w:pPr>
              <w:pStyle w:val="3"/>
              <w:jc w:val="center"/>
              <w:rPr>
                <w:rFonts w:hint="eastAsia" w:asciiTheme="minorEastAsia" w:hAnsiTheme="minorEastAsia" w:eastAsiaTheme="minorEastAsia" w:cstheme="minorEastAsia"/>
                <w:spacing w:val="-6"/>
                <w:sz w:val="21"/>
                <w:szCs w:val="21"/>
              </w:rPr>
            </w:pPr>
          </w:p>
        </w:tc>
        <w:tc>
          <w:tcPr>
            <w:tcW w:w="651" w:type="dxa"/>
            <w:vAlign w:val="center"/>
          </w:tcPr>
          <w:p>
            <w:pPr>
              <w:pStyle w:val="3"/>
              <w:jc w:val="center"/>
              <w:rPr>
                <w:rFonts w:hint="eastAsia" w:asciiTheme="minorEastAsia" w:hAnsiTheme="minorEastAsia" w:eastAsiaTheme="minorEastAsia" w:cstheme="minorEastAsia"/>
                <w:spacing w:val="-6"/>
                <w:sz w:val="21"/>
                <w:szCs w:val="21"/>
              </w:rPr>
            </w:pPr>
          </w:p>
        </w:tc>
        <w:tc>
          <w:tcPr>
            <w:tcW w:w="651" w:type="dxa"/>
            <w:vAlign w:val="center"/>
          </w:tcPr>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p>
        </w:tc>
        <w:tc>
          <w:tcPr>
            <w:tcW w:w="661" w:type="dxa"/>
            <w:vAlign w:val="center"/>
          </w:tcPr>
          <w:p>
            <w:pPr>
              <w:pStyle w:val="3"/>
              <w:jc w:val="center"/>
              <w:rPr>
                <w:rFonts w:hint="eastAsia" w:asciiTheme="minorEastAsia" w:hAnsiTheme="minorEastAsia" w:eastAsiaTheme="minorEastAsia" w:cstheme="minorEastAsia"/>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4" w:type="dxa"/>
            <w:vMerge w:val="continue"/>
            <w:vAlign w:val="center"/>
          </w:tcPr>
          <w:p>
            <w:pPr>
              <w:pStyle w:val="3"/>
              <w:jc w:val="center"/>
              <w:rPr>
                <w:rFonts w:hint="eastAsia" w:asciiTheme="minorEastAsia" w:hAnsiTheme="minorEastAsia" w:eastAsiaTheme="minorEastAsia" w:cstheme="minorEastAsia"/>
                <w:spacing w:val="-6"/>
                <w:sz w:val="21"/>
                <w:szCs w:val="21"/>
              </w:rPr>
            </w:pPr>
          </w:p>
        </w:tc>
        <w:tc>
          <w:tcPr>
            <w:tcW w:w="831" w:type="dxa"/>
            <w:vMerge w:val="continue"/>
            <w:vAlign w:val="center"/>
          </w:tcPr>
          <w:p>
            <w:pPr>
              <w:pStyle w:val="3"/>
              <w:jc w:val="center"/>
              <w:rPr>
                <w:rFonts w:hint="eastAsia" w:asciiTheme="minorEastAsia" w:hAnsiTheme="minorEastAsia" w:eastAsiaTheme="minorEastAsia" w:cstheme="minorEastAsia"/>
                <w:spacing w:val="-6"/>
                <w:sz w:val="21"/>
                <w:szCs w:val="21"/>
              </w:rPr>
            </w:pPr>
          </w:p>
        </w:tc>
        <w:tc>
          <w:tcPr>
            <w:tcW w:w="2035" w:type="dxa"/>
            <w:vAlign w:val="center"/>
          </w:tcPr>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醛类（以HCHO计）</w:t>
            </w:r>
          </w:p>
        </w:tc>
        <w:tc>
          <w:tcPr>
            <w:tcW w:w="2701" w:type="dxa"/>
            <w:vAlign w:val="center"/>
          </w:tcPr>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GB 29518-2013附录D</w:t>
            </w:r>
          </w:p>
        </w:tc>
        <w:tc>
          <w:tcPr>
            <w:tcW w:w="734" w:type="dxa"/>
            <w:vAlign w:val="center"/>
          </w:tcPr>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p>
        </w:tc>
        <w:tc>
          <w:tcPr>
            <w:tcW w:w="651" w:type="dxa"/>
            <w:vAlign w:val="center"/>
          </w:tcPr>
          <w:p>
            <w:pPr>
              <w:pStyle w:val="3"/>
              <w:jc w:val="center"/>
              <w:rPr>
                <w:rFonts w:hint="eastAsia" w:asciiTheme="minorEastAsia" w:hAnsiTheme="minorEastAsia" w:eastAsiaTheme="minorEastAsia" w:cstheme="minorEastAsia"/>
                <w:spacing w:val="-6"/>
                <w:sz w:val="21"/>
                <w:szCs w:val="21"/>
              </w:rPr>
            </w:pPr>
          </w:p>
        </w:tc>
        <w:tc>
          <w:tcPr>
            <w:tcW w:w="651" w:type="dxa"/>
            <w:vAlign w:val="center"/>
          </w:tcPr>
          <w:p>
            <w:pPr>
              <w:pStyle w:val="3"/>
              <w:jc w:val="center"/>
              <w:rPr>
                <w:rFonts w:hint="eastAsia" w:asciiTheme="minorEastAsia" w:hAnsiTheme="minorEastAsia" w:eastAsiaTheme="minorEastAsia" w:cstheme="minorEastAsia"/>
                <w:spacing w:val="-6"/>
                <w:sz w:val="21"/>
                <w:szCs w:val="21"/>
              </w:rPr>
            </w:pPr>
          </w:p>
        </w:tc>
        <w:tc>
          <w:tcPr>
            <w:tcW w:w="651" w:type="dxa"/>
            <w:vAlign w:val="center"/>
          </w:tcPr>
          <w:p>
            <w:pPr>
              <w:pStyle w:val="3"/>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w:t>
            </w:r>
          </w:p>
        </w:tc>
        <w:tc>
          <w:tcPr>
            <w:tcW w:w="661" w:type="dxa"/>
            <w:vAlign w:val="center"/>
          </w:tcPr>
          <w:p>
            <w:pPr>
              <w:pStyle w:val="3"/>
              <w:jc w:val="center"/>
              <w:rPr>
                <w:rFonts w:hint="eastAsia" w:asciiTheme="minorEastAsia" w:hAnsiTheme="minorEastAsia" w:eastAsiaTheme="minorEastAsia" w:cstheme="minorEastAsia"/>
                <w:spacing w:val="-6"/>
                <w:sz w:val="21"/>
                <w:szCs w:val="21"/>
              </w:rPr>
            </w:pPr>
          </w:p>
        </w:tc>
      </w:tr>
    </w:tbl>
    <w:p>
      <w:pPr>
        <w:adjustRightInd w:val="0"/>
        <w:snapToGrid w:val="0"/>
        <w:spacing w:line="56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注：执行企业标准、团体标准、地方标准的产品，检验项目参照上述内容执行。</w:t>
      </w:r>
    </w:p>
    <w:p>
      <w:pPr>
        <w:adjustRightInd w:val="0"/>
        <w:snapToGrid w:val="0"/>
        <w:spacing w:line="56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凡是注日期的文件，其随后所有的修改单（不包括勘误的内容）或修订版不适用于本细则。凡是不注日期的文件，其最新版本适用于本细则。</w:t>
      </w:r>
    </w:p>
    <w:p>
      <w:pPr>
        <w:spacing w:line="600" w:lineRule="exact"/>
        <w:ind w:firstLine="420" w:firstLineChars="200"/>
        <w:rPr>
          <w:rFonts w:hint="eastAsia" w:eastAsia="黑体"/>
          <w:color w:val="000000"/>
          <w:sz w:val="21"/>
          <w:szCs w:val="21"/>
        </w:rPr>
      </w:pPr>
      <w:r>
        <w:rPr>
          <w:rFonts w:hint="eastAsia" w:eastAsia="黑体"/>
          <w:color w:val="000000"/>
          <w:sz w:val="21"/>
          <w:szCs w:val="21"/>
        </w:rPr>
        <w:t>三、判定规则</w:t>
      </w:r>
    </w:p>
    <w:p>
      <w:pPr>
        <w:spacing w:line="600" w:lineRule="exact"/>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（一）依据标准</w:t>
      </w:r>
    </w:p>
    <w:p>
      <w:pPr>
        <w:spacing w:line="6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GB 29518-2013 柴油发动机氮氧化物还原剂 尿素水溶液（AUS32）</w:t>
      </w:r>
    </w:p>
    <w:p>
      <w:pPr>
        <w:spacing w:line="6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现行有效的企业标准、团体标准、地方标准及产品明示质量要求</w:t>
      </w:r>
    </w:p>
    <w:p>
      <w:pPr>
        <w:spacing w:line="600" w:lineRule="exact"/>
        <w:ind w:firstLine="420" w:firstLineChars="200"/>
        <w:rPr>
          <w:rFonts w:hint="eastAsia" w:asciiTheme="minorEastAsia" w:hAnsiTheme="minorEastAsia" w:eastAsiaTheme="minorEastAsia" w:cstheme="minorEastAsia"/>
          <w:b w:val="0"/>
          <w:bCs/>
          <w:sz w:val="21"/>
          <w:szCs w:val="21"/>
        </w:rPr>
      </w:pPr>
      <w:bookmarkStart w:id="0" w:name="_GoBack"/>
      <w:r>
        <w:rPr>
          <w:rFonts w:hint="eastAsia" w:asciiTheme="minorEastAsia" w:hAnsiTheme="minorEastAsia" w:eastAsiaTheme="minorEastAsia" w:cstheme="minorEastAsia"/>
          <w:b w:val="0"/>
          <w:bCs/>
          <w:sz w:val="21"/>
          <w:szCs w:val="21"/>
        </w:rPr>
        <w:t>（二）判定原则</w:t>
      </w:r>
    </w:p>
    <w:bookmarkEnd w:id="0"/>
    <w:p>
      <w:pPr>
        <w:spacing w:line="6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经检验，检验项目全部合格，判定为抽取的样本所检项目未检出不合格；检验项目中任一项或一项以上不合格，判定为被抽查产品不合格。</w:t>
      </w:r>
    </w:p>
    <w:p>
      <w:pPr>
        <w:spacing w:line="6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当被检样品明示的质量要求优于监督抽查实施细则中依据的标准要求时，应按被检样品明示的质量要求判定；</w:t>
      </w:r>
    </w:p>
    <w:p>
      <w:pPr>
        <w:spacing w:line="6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当被检样品明示的质量要求劣于或不包含监督抽查实施细则中依据的强制性标准要求时，应按照强制性标准要求判定；</w:t>
      </w:r>
    </w:p>
    <w:p>
      <w:pPr>
        <w:spacing w:line="6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当被检样品明示的质量要求劣于或包含监督抽查实施细则中依据的推荐性标准要求时，应以被检样品明示的质量要求判定，如相应检验结果不符合相关推荐性标准要求时，应在检验报告中予以说明；</w:t>
      </w:r>
    </w:p>
    <w:p>
      <w:pPr>
        <w:spacing w:line="6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当被检样品明示的质量要求不包含监督抽查实施细则中依据的推荐性标准要求时，该指标不参与判定，但应在检验报告中作出说明；</w:t>
      </w:r>
    </w:p>
    <w:p>
      <w:pPr>
        <w:spacing w:line="6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当被检样品未能提供有效的企业标准时，按相关国家或行业标准进行判定；</w:t>
      </w:r>
    </w:p>
    <w:p>
      <w:pPr>
        <w:spacing w:line="6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spacing w:line="6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按照产品质量相关法律法规的规定判定。</w:t>
      </w:r>
    </w:p>
    <w:p>
      <w:pPr>
        <w:spacing w:line="60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检验中发现因样品失效或者其他原因致使检验无法进行的，检验人员应如实记录，并提供相关证明材料，报送组织监督抽查的市场监管部门。</w:t>
      </w:r>
    </w:p>
    <w:p>
      <w:pPr>
        <w:pStyle w:val="4"/>
        <w:rPr>
          <w:rFonts w:hint="eastAsia" w:asciiTheme="minorEastAsia" w:hAnsiTheme="minorEastAsia" w:eastAsiaTheme="minorEastAsia" w:cstheme="minorEastAsia"/>
          <w:sz w:val="21"/>
          <w:szCs w:val="21"/>
        </w:rPr>
      </w:pPr>
    </w:p>
    <w:p>
      <w:pPr>
        <w:pStyle w:val="4"/>
        <w:rPr>
          <w:rFonts w:hint="eastAsia" w:asciiTheme="minorEastAsia" w:hAnsiTheme="minorEastAsia" w:eastAsiaTheme="minorEastAsia" w:cstheme="minorEastAsia"/>
          <w:sz w:val="21"/>
          <w:szCs w:val="21"/>
        </w:rPr>
      </w:pPr>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1ZmY1ODNmNDMyYjQ5NWNmOTU3NTQzZTVjOTNkMjAifQ=="/>
  </w:docVars>
  <w:rsids>
    <w:rsidRoot w:val="24F50D54"/>
    <w:rsid w:val="001F29D8"/>
    <w:rsid w:val="008D35F4"/>
    <w:rsid w:val="008E38C3"/>
    <w:rsid w:val="00A05C65"/>
    <w:rsid w:val="00DC4A49"/>
    <w:rsid w:val="00E251DD"/>
    <w:rsid w:val="24F50D54"/>
    <w:rsid w:val="3EDA5CF9"/>
    <w:rsid w:val="736A1F41"/>
    <w:rsid w:val="DEF2D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jc w:val="center"/>
      <w:outlineLvl w:val="0"/>
    </w:pPr>
    <w:rPr>
      <w:rFonts w:ascii="方正小标宋简体" w:eastAsia="方正小标宋简体"/>
      <w:kern w:val="44"/>
      <w:sz w:val="3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9"/>
    <w:qFormat/>
    <w:uiPriority w:val="0"/>
    <w:pPr>
      <w:spacing w:after="120"/>
    </w:pPr>
    <w:rPr>
      <w:rFonts w:eastAsia="宋体"/>
      <w:sz w:val="21"/>
    </w:rPr>
  </w:style>
  <w:style w:type="paragraph" w:styleId="4">
    <w:name w:val="Plain Text"/>
    <w:basedOn w:val="1"/>
    <w:qFormat/>
    <w:uiPriority w:val="0"/>
    <w:rPr>
      <w:rFonts w:ascii="宋体" w:hAnsi="Courier New" w:cs="宋体"/>
      <w:sz w:val="21"/>
      <w:szCs w:val="21"/>
    </w:r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 w:type="paragraph" w:customStyle="1" w:styleId="8">
    <w:name w:val="目次、标准名称标题"/>
    <w:basedOn w:val="1"/>
    <w:next w:val="7"/>
    <w:qFormat/>
    <w:uiPriority w:val="0"/>
    <w:pPr>
      <w:keepNext/>
      <w:pageBreakBefore/>
      <w:widowControl/>
      <w:shd w:val="clear" w:color="FFFFFF" w:fill="FFFFFF"/>
      <w:spacing w:before="640" w:after="560" w:line="460" w:lineRule="exact"/>
      <w:jc w:val="center"/>
      <w:outlineLvl w:val="0"/>
    </w:pPr>
    <w:rPr>
      <w:rFonts w:ascii="黑体" w:eastAsia="黑体"/>
      <w:kern w:val="0"/>
      <w:sz w:val="30"/>
      <w:szCs w:val="20"/>
    </w:rPr>
  </w:style>
  <w:style w:type="character" w:customStyle="1" w:styleId="9">
    <w:name w:val="正文文本 字符"/>
    <w:basedOn w:val="6"/>
    <w:link w:val="3"/>
    <w:qFormat/>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其他省直机关单位</Company>
  <Pages>3</Pages>
  <Words>193</Words>
  <Characters>1106</Characters>
  <Lines>9</Lines>
  <Paragraphs>2</Paragraphs>
  <TotalTime>0</TotalTime>
  <ScaleCrop>false</ScaleCrop>
  <LinksUpToDate>false</LinksUpToDate>
  <CharactersWithSpaces>1297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2023-08-05T21:40:00Z</dcterms:created>
  <dc:creator>胡媛媛</dc:creator>
  <cp:lastModifiedBy>* 飞</cp:lastModifiedBy>
  <dcterms:modified xsi:type="dcterms:W3CDTF">2023-08-11T11:44:07Z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BB105ADA947740CBB831F2A0EA304741_12</vt:lpwstr>
  </property>
</Properties>
</file>