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default" w:ascii="Times New Roman" w:hAnsi="Times New Roman" w:eastAsia="黑体" w:cs="Times New Roman"/>
          <w:spacing w:val="-1"/>
          <w:position w:val="1"/>
          <w:sz w:val="32"/>
          <w:szCs w:val="32"/>
        </w:rPr>
      </w:pPr>
      <w:r>
        <w:rPr>
          <w:rFonts w:hint="default" w:ascii="Times New Roman" w:hAnsi="Times New Roman" w:eastAsia="黑体" w:cs="Times New Roman"/>
          <w:spacing w:val="-1"/>
          <w:position w:val="1"/>
          <w:sz w:val="32"/>
          <w:szCs w:val="32"/>
        </w:rPr>
        <w:t>附件1</w:t>
      </w:r>
    </w:p>
    <w:p>
      <w:pPr>
        <w:pStyle w:val="2"/>
        <w:rPr>
          <w:rFonts w:hint="default"/>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spacing w:val="-1"/>
          <w:position w:val="1"/>
          <w:sz w:val="44"/>
          <w:szCs w:val="44"/>
        </w:rPr>
      </w:pPr>
      <w:r>
        <w:rPr>
          <w:rFonts w:ascii="Times New Roman" w:hAnsi="Times New Roman" w:eastAsia="方正小标宋简体" w:cs="Times New Roman"/>
          <w:spacing w:val="-1"/>
          <w:position w:val="1"/>
          <w:sz w:val="44"/>
          <w:szCs w:val="44"/>
        </w:rPr>
        <w:t>广东省室内健身器材产品质量监督</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黑体" w:cs="Times New Roman"/>
          <w:bCs/>
          <w:kern w:val="44"/>
          <w:sz w:val="30"/>
          <w:szCs w:val="44"/>
        </w:rPr>
      </w:pPr>
      <w:r>
        <w:rPr>
          <w:rFonts w:ascii="Times New Roman" w:hAnsi="Times New Roman" w:eastAsia="方正小标宋简体" w:cs="Times New Roman"/>
          <w:spacing w:val="-1"/>
          <w:position w:val="1"/>
          <w:sz w:val="44"/>
          <w:szCs w:val="44"/>
        </w:rPr>
        <w:t>抽查实施细则</w:t>
      </w:r>
    </w:p>
    <w:p>
      <w:pPr>
        <w:spacing w:line="590" w:lineRule="exact"/>
        <w:ind w:firstLine="640" w:firstLineChars="200"/>
        <w:rPr>
          <w:rFonts w:ascii="Times New Roman" w:hAnsi="Times New Roman"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每款产品抽取2组样本，第1组用于检验，第2组用于备样。第1组抽取样品1个，第2组抽取样品1个。</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二、主要检验项目及检验项目属性划分</w:t>
      </w:r>
    </w:p>
    <w:tbl>
      <w:tblPr>
        <w:tblStyle w:val="4"/>
        <w:tblW w:w="9321" w:type="dxa"/>
        <w:jc w:val="center"/>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175"/>
        <w:gridCol w:w="2445"/>
        <w:gridCol w:w="915"/>
        <w:gridCol w:w="660"/>
        <w:gridCol w:w="900"/>
        <w:gridCol w:w="67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21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检验项目</w:t>
            </w:r>
          </w:p>
        </w:tc>
        <w:tc>
          <w:tcPr>
            <w:tcW w:w="24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检验方法</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强制性</w:t>
            </w:r>
          </w:p>
        </w:tc>
        <w:tc>
          <w:tcPr>
            <w:tcW w:w="6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非强制性</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重要项</w:t>
            </w:r>
          </w:p>
        </w:tc>
        <w:tc>
          <w:tcPr>
            <w:tcW w:w="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较重要项</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1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自立式器材的稳定性</w:t>
            </w:r>
          </w:p>
        </w:tc>
        <w:tc>
          <w:tcPr>
            <w:tcW w:w="24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 17498.1-2008条款6.3</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21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棱边</w:t>
            </w:r>
          </w:p>
        </w:tc>
        <w:tc>
          <w:tcPr>
            <w:tcW w:w="24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 17498.1-2008条款6.1.1、6.1.3</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21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调节和锁定机构</w:t>
            </w:r>
          </w:p>
        </w:tc>
        <w:tc>
          <w:tcPr>
            <w:tcW w:w="244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 17498.1-2008条款6.1.2、6.1.4</w:t>
            </w:r>
          </w:p>
        </w:tc>
        <w:tc>
          <w:tcPr>
            <w:tcW w:w="91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6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90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870" w:type="dxa"/>
            <w:noWrap/>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21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握持位置</w:t>
            </w:r>
          </w:p>
        </w:tc>
        <w:tc>
          <w:tcPr>
            <w:tcW w:w="244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 17498.1-2008条款6.1.2、6.1.4、6.6</w:t>
            </w:r>
          </w:p>
        </w:tc>
        <w:tc>
          <w:tcPr>
            <w:tcW w:w="91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6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90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870" w:type="dxa"/>
            <w:noWrap/>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1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对触及带电部件的</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防护</w:t>
            </w:r>
          </w:p>
        </w:tc>
        <w:tc>
          <w:tcPr>
            <w:tcW w:w="244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4706.1-2005条款8</w:t>
            </w:r>
          </w:p>
        </w:tc>
        <w:tc>
          <w:tcPr>
            <w:tcW w:w="91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p>
        </w:tc>
        <w:tc>
          <w:tcPr>
            <w:tcW w:w="90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870" w:type="dxa"/>
            <w:noWrap/>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1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工作温度下的泄漏电流和电气强度</w:t>
            </w:r>
          </w:p>
        </w:tc>
        <w:tc>
          <w:tcPr>
            <w:tcW w:w="244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4706.1-2005条款13</w:t>
            </w:r>
          </w:p>
        </w:tc>
        <w:tc>
          <w:tcPr>
            <w:tcW w:w="91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p>
        </w:tc>
        <w:tc>
          <w:tcPr>
            <w:tcW w:w="90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870" w:type="dxa"/>
            <w:noWrap/>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1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泄漏电流和电气强度</w:t>
            </w:r>
          </w:p>
        </w:tc>
        <w:tc>
          <w:tcPr>
            <w:tcW w:w="244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4706.1-2005条款16</w:t>
            </w:r>
          </w:p>
        </w:tc>
        <w:tc>
          <w:tcPr>
            <w:tcW w:w="91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p>
        </w:tc>
        <w:tc>
          <w:tcPr>
            <w:tcW w:w="90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870" w:type="dxa"/>
            <w:noWrap/>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21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稳定性和机械危险</w:t>
            </w:r>
          </w:p>
        </w:tc>
        <w:tc>
          <w:tcPr>
            <w:tcW w:w="244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4706.1-2005条款20</w:t>
            </w:r>
          </w:p>
        </w:tc>
        <w:tc>
          <w:tcPr>
            <w:tcW w:w="91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p>
        </w:tc>
        <w:tc>
          <w:tcPr>
            <w:tcW w:w="90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870" w:type="dxa"/>
            <w:noWrap/>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21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机械强度</w:t>
            </w:r>
          </w:p>
        </w:tc>
        <w:tc>
          <w:tcPr>
            <w:tcW w:w="244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4706.1-2005条款21</w:t>
            </w:r>
          </w:p>
        </w:tc>
        <w:tc>
          <w:tcPr>
            <w:tcW w:w="91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p>
        </w:tc>
        <w:tc>
          <w:tcPr>
            <w:tcW w:w="90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870" w:type="dxa"/>
            <w:noWrap/>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21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电源连接和外部软线</w:t>
            </w:r>
          </w:p>
        </w:tc>
        <w:tc>
          <w:tcPr>
            <w:tcW w:w="244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4706.1-2005条款25</w:t>
            </w:r>
          </w:p>
        </w:tc>
        <w:tc>
          <w:tcPr>
            <w:tcW w:w="91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p>
        </w:tc>
        <w:tc>
          <w:tcPr>
            <w:tcW w:w="90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870" w:type="dxa"/>
            <w:noWrap/>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1"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21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电气间隙、爬电距离和固体绝缘</w:t>
            </w:r>
          </w:p>
        </w:tc>
        <w:tc>
          <w:tcPr>
            <w:tcW w:w="244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4706.1-2005条款29</w:t>
            </w:r>
          </w:p>
        </w:tc>
        <w:tc>
          <w:tcPr>
            <w:tcW w:w="91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p>
        </w:tc>
        <w:tc>
          <w:tcPr>
            <w:tcW w:w="900"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75" w:type="dxa"/>
            <w:noWrap/>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color w:val="000000"/>
                <w:sz w:val="21"/>
                <w:szCs w:val="21"/>
              </w:rPr>
            </w:pPr>
          </w:p>
        </w:tc>
        <w:tc>
          <w:tcPr>
            <w:tcW w:w="870" w:type="dxa"/>
            <w:noWrap/>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注：1.执行企业标准、团体标准、地方标准的产品，检验项目参照上述内容执行。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三、判定规则</w:t>
      </w:r>
    </w:p>
    <w:p>
      <w:pPr>
        <w:keepNext w:val="0"/>
        <w:keepLines w:val="0"/>
        <w:pageBreakBefore w:val="0"/>
        <w:kinsoku/>
        <w:wordWrap/>
        <w:overflowPunct/>
        <w:topLinePunct w:val="0"/>
        <w:bidi w:val="0"/>
        <w:adjustRightInd/>
        <w:spacing w:line="600" w:lineRule="exact"/>
        <w:ind w:firstLine="640" w:firstLineChars="200"/>
        <w:jc w:val="left"/>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sz w:val="32"/>
          <w:szCs w:val="32"/>
        </w:rPr>
        <w:t>（一）</w:t>
      </w:r>
      <w:r>
        <w:rPr>
          <w:rFonts w:hint="default" w:ascii="Times New Roman" w:hAnsi="Times New Roman" w:eastAsia="楷体_GB2312" w:cs="Times New Roman"/>
          <w:kern w:val="0"/>
          <w:sz w:val="32"/>
          <w:szCs w:val="32"/>
        </w:rPr>
        <w:t>依据标准</w:t>
      </w:r>
    </w:p>
    <w:p>
      <w:pPr>
        <w:keepNext w:val="0"/>
        <w:keepLines w:val="0"/>
        <w:pageBreakBefore w:val="0"/>
        <w:kinsoku/>
        <w:wordWrap/>
        <w:overflowPunct/>
        <w:topLinePunct w:val="0"/>
        <w:bidi w:val="0"/>
        <w:adjustRightInd/>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GB 17498.1-2008</w:t>
      </w:r>
      <w:r>
        <w:rPr>
          <w:rFonts w:hint="default" w:ascii="Times New Roman" w:hAnsi="Times New Roman" w:cs="Times New Roman"/>
          <w:sz w:val="32"/>
          <w:szCs w:val="32"/>
          <w:lang w:eastAsia="zh-CN"/>
        </w:rPr>
        <w:t>《</w:t>
      </w:r>
      <w:r>
        <w:rPr>
          <w:rFonts w:hint="default" w:ascii="Times New Roman" w:hAnsi="Times New Roman" w:cs="Times New Roman"/>
          <w:sz w:val="32"/>
          <w:szCs w:val="32"/>
        </w:rPr>
        <w:t>固定式健身器材 第1部分：通用安全要求和试验方法</w:t>
      </w:r>
      <w:r>
        <w:rPr>
          <w:rFonts w:hint="default" w:ascii="Times New Roman" w:hAnsi="Times New Roman" w:cs="Times New Roman"/>
          <w:sz w:val="32"/>
          <w:szCs w:val="32"/>
          <w:lang w:eastAsia="zh-CN"/>
        </w:rPr>
        <w:t>》</w:t>
      </w:r>
    </w:p>
    <w:p>
      <w:pPr>
        <w:keepNext w:val="0"/>
        <w:keepLines w:val="0"/>
        <w:pageBreakBefore w:val="0"/>
        <w:kinsoku/>
        <w:wordWrap/>
        <w:overflowPunct/>
        <w:topLinePunct w:val="0"/>
        <w:bidi w:val="0"/>
        <w:adjustRightInd/>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GB 4706.1-2005</w:t>
      </w:r>
      <w:r>
        <w:rPr>
          <w:rFonts w:hint="default" w:ascii="Times New Roman" w:hAnsi="Times New Roman" w:cs="Times New Roman"/>
          <w:sz w:val="32"/>
          <w:szCs w:val="32"/>
          <w:lang w:eastAsia="zh-CN"/>
        </w:rPr>
        <w:t>《</w:t>
      </w:r>
      <w:r>
        <w:rPr>
          <w:rFonts w:hint="default" w:ascii="Times New Roman" w:hAnsi="Times New Roman" w:cs="Times New Roman"/>
          <w:sz w:val="32"/>
          <w:szCs w:val="32"/>
        </w:rPr>
        <w:t>家用和类似用途电器的安全 第1部分：通用要求</w:t>
      </w:r>
      <w:r>
        <w:rPr>
          <w:rFonts w:hint="default" w:ascii="Times New Roman" w:hAnsi="Times New Roman" w:cs="Times New Roman"/>
          <w:sz w:val="32"/>
          <w:szCs w:val="32"/>
          <w:lang w:eastAsia="zh-CN"/>
        </w:rPr>
        <w:t>》</w:t>
      </w:r>
    </w:p>
    <w:p>
      <w:pPr>
        <w:keepNext w:val="0"/>
        <w:keepLines w:val="0"/>
        <w:pageBreakBefore w:val="0"/>
        <w:kinsoku/>
        <w:wordWrap/>
        <w:overflowPunct/>
        <w:topLinePunct w:val="0"/>
        <w:bidi w:val="0"/>
        <w:adjustRightIn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现行有效的企业标准、团体标准、地方标准及产品明示质量要求。</w:t>
      </w:r>
    </w:p>
    <w:p>
      <w:pPr>
        <w:keepNext w:val="0"/>
        <w:keepLines w:val="0"/>
        <w:pageBreakBefore w:val="0"/>
        <w:widowControl/>
        <w:kinsoku/>
        <w:wordWrap/>
        <w:overflowPunct/>
        <w:topLinePunct w:val="0"/>
        <w:bidi w:val="0"/>
        <w:adjustRightInd/>
        <w:spacing w:line="600" w:lineRule="exact"/>
        <w:ind w:firstLine="640" w:firstLineChars="200"/>
        <w:textAlignment w:val="auto"/>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（二）判定原则</w:t>
      </w:r>
    </w:p>
    <w:p>
      <w:pPr>
        <w:keepNext w:val="0"/>
        <w:keepLines w:val="0"/>
        <w:pageBreakBefore w:val="0"/>
        <w:kinsoku/>
        <w:wordWrap/>
        <w:overflowPunct/>
        <w:topLinePunct w:val="0"/>
        <w:bidi w:val="0"/>
        <w:adjustRightInd/>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pStyle w:val="5"/>
        <w:keepNext w:val="0"/>
        <w:keepLines w:val="0"/>
        <w:pageBreakBefore w:val="0"/>
        <w:tabs>
          <w:tab w:val="clear" w:pos="4201"/>
          <w:tab w:val="clear" w:pos="9298"/>
        </w:tabs>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当被检样品明示的质量要求优于监督抽查实施细则中依据的标准要求时，应按被检样品明示的质量要求判定；</w:t>
      </w:r>
    </w:p>
    <w:p>
      <w:pPr>
        <w:pStyle w:val="5"/>
        <w:keepNext w:val="0"/>
        <w:keepLines w:val="0"/>
        <w:pageBreakBefore w:val="0"/>
        <w:tabs>
          <w:tab w:val="clear" w:pos="4201"/>
          <w:tab w:val="clear" w:pos="9298"/>
        </w:tabs>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当被检样品明示的质量要求劣于或不包含监督抽查实施细则中依据的强制性标准要求时，应按照强制性标准要求判定；</w:t>
      </w:r>
    </w:p>
    <w:p>
      <w:pPr>
        <w:pStyle w:val="5"/>
        <w:keepNext w:val="0"/>
        <w:keepLines w:val="0"/>
        <w:pageBreakBefore w:val="0"/>
        <w:widowControl w:val="0"/>
        <w:tabs>
          <w:tab w:val="clear" w:pos="4201"/>
          <w:tab w:val="clear" w:pos="9298"/>
        </w:tabs>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5"/>
        <w:keepNext w:val="0"/>
        <w:keepLines w:val="0"/>
        <w:pageBreakBefore w:val="0"/>
        <w:widowControl w:val="0"/>
        <w:tabs>
          <w:tab w:val="clear" w:pos="4201"/>
          <w:tab w:val="clear" w:pos="9298"/>
        </w:tabs>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当被检样品明示的质量要求不包含监督抽查实施细则中依据的推荐性标准要求时，该指标不参与判定，但应在检验报告中作出说明；</w:t>
      </w:r>
    </w:p>
    <w:p>
      <w:pPr>
        <w:pStyle w:val="5"/>
        <w:keepNext w:val="0"/>
        <w:keepLines w:val="0"/>
        <w:pageBreakBefore w:val="0"/>
        <w:widowControl w:val="0"/>
        <w:tabs>
          <w:tab w:val="clear" w:pos="4201"/>
          <w:tab w:val="clear" w:pos="9298"/>
        </w:tabs>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当被检样品未能提供有效的企业标准时，按相关国家或行业标准进行判定；</w:t>
      </w:r>
    </w:p>
    <w:p>
      <w:pPr>
        <w:pStyle w:val="5"/>
        <w:keepNext w:val="0"/>
        <w:keepLines w:val="0"/>
        <w:pageBreakBefore w:val="0"/>
        <w:widowControl w:val="0"/>
        <w:tabs>
          <w:tab w:val="clear" w:pos="4201"/>
          <w:tab w:val="clear" w:pos="9298"/>
        </w:tabs>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5"/>
        <w:keepNext w:val="0"/>
        <w:keepLines w:val="0"/>
        <w:pageBreakBefore w:val="0"/>
        <w:widowControl w:val="0"/>
        <w:tabs>
          <w:tab w:val="clear" w:pos="4201"/>
          <w:tab w:val="clear" w:pos="9298"/>
        </w:tabs>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按照产品质量相关法律法规的规定判定。</w:t>
      </w:r>
    </w:p>
    <w:p>
      <w:pPr>
        <w:keepNext w:val="0"/>
        <w:keepLines w:val="0"/>
        <w:pageBreakBefore w:val="0"/>
        <w:kinsoku/>
        <w:wordWrap/>
        <w:overflowPunct/>
        <w:topLinePunct w:val="0"/>
        <w:bidi w:val="0"/>
        <w:adjustRightInd/>
        <w:spacing w:line="600" w:lineRule="exact"/>
        <w:ind w:firstLine="640" w:firstLineChars="200"/>
        <w:textAlignment w:val="auto"/>
        <w:rPr>
          <w:rFonts w:hint="default" w:ascii="Times New Roman" w:hAnsi="Times New Roman" w:cs="Times New Roman"/>
          <w:sz w:val="32"/>
        </w:rPr>
      </w:pPr>
      <w:r>
        <w:rPr>
          <w:rFonts w:hint="default" w:ascii="Times New Roman" w:hAnsi="Times New Roman" w:cs="Times New Roman"/>
          <w:sz w:val="32"/>
          <w:szCs w:val="32"/>
        </w:rPr>
        <w:t>检验中发现因样品失效或者其他原因致使检验无法进行的，检验人员应如实记录，并提供相关证明材料，报送组织监督抽查的市场监管部门。</w:t>
      </w:r>
    </w:p>
    <w:p>
      <w:pPr>
        <w:keepNext w:val="0"/>
        <w:keepLines w:val="0"/>
        <w:pageBreakBefore w:val="0"/>
        <w:kinsoku/>
        <w:wordWrap/>
        <w:overflowPunct/>
        <w:topLinePunct w:val="0"/>
        <w:bidi w:val="0"/>
        <w:adjustRightInd/>
        <w:spacing w:line="600" w:lineRule="exact"/>
        <w:textAlignment w:val="auto"/>
        <w:rPr>
          <w:rFonts w:hint="default" w:ascii="Times New Roman" w:hAnsi="Times New Roman" w:eastAsia="黑体" w:cs="Times New Roman"/>
          <w:spacing w:val="-1"/>
          <w:position w:val="1"/>
          <w:sz w:val="32"/>
          <w:szCs w:val="32"/>
        </w:rPr>
      </w:pPr>
    </w:p>
    <w:p>
      <w:pPr>
        <w:keepNext w:val="0"/>
        <w:keepLines w:val="0"/>
        <w:pageBreakBefore w:val="0"/>
        <w:kinsoku/>
        <w:wordWrap/>
        <w:overflowPunct/>
        <w:topLinePunct w:val="0"/>
        <w:bidi w:val="0"/>
        <w:adjustRightInd/>
        <w:spacing w:line="600" w:lineRule="exact"/>
        <w:textAlignment w:val="auto"/>
        <w:rPr>
          <w:rFonts w:hint="default" w:ascii="Times New Roman" w:hAnsi="Times New Roman" w:eastAsia="黑体" w:cs="Times New Roman"/>
          <w:spacing w:val="-1"/>
          <w:position w:val="1"/>
          <w:sz w:val="32"/>
          <w:szCs w:val="32"/>
        </w:rPr>
      </w:pPr>
    </w:p>
    <w:p>
      <w:pPr>
        <w:spacing w:line="590" w:lineRule="exact"/>
        <w:rPr>
          <w:rFonts w:hint="eastAsia" w:ascii="黑体" w:hAnsi="黑体" w:eastAsia="黑体" w:cs="Times New Roman"/>
          <w:spacing w:val="-1"/>
          <w:position w:val="1"/>
          <w:sz w:val="32"/>
          <w:szCs w:val="32"/>
        </w:rPr>
      </w:pPr>
    </w:p>
    <w:p>
      <w:pPr>
        <w:spacing w:line="590" w:lineRule="exact"/>
        <w:rPr>
          <w:rFonts w:hint="eastAsia" w:ascii="黑体" w:hAnsi="黑体" w:eastAsia="黑体" w:cs="Times New Roman"/>
          <w:spacing w:val="-1"/>
          <w:position w:val="1"/>
          <w:sz w:val="32"/>
          <w:szCs w:val="32"/>
        </w:rPr>
      </w:pPr>
    </w:p>
    <w:p>
      <w:pPr>
        <w:spacing w:line="590" w:lineRule="exact"/>
        <w:rPr>
          <w:rFonts w:hint="eastAsia" w:ascii="黑体" w:hAnsi="黑体" w:eastAsia="黑体" w:cs="Times New Roman"/>
          <w:spacing w:val="-1"/>
          <w:position w:val="1"/>
          <w:sz w:val="32"/>
          <w:szCs w:val="32"/>
        </w:rPr>
      </w:pPr>
    </w:p>
    <w:p>
      <w:pPr>
        <w:spacing w:line="590" w:lineRule="exact"/>
        <w:rPr>
          <w:rFonts w:hint="eastAsia" w:ascii="黑体" w:hAnsi="黑体"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r>
        <w:rPr>
          <w:rFonts w:hint="default" w:ascii="Times New Roman" w:hAnsi="Times New Roman" w:eastAsia="黑体" w:cs="Times New Roman"/>
          <w:spacing w:val="-1"/>
          <w:position w:val="1"/>
          <w:sz w:val="32"/>
          <w:szCs w:val="32"/>
        </w:rPr>
        <w:t>附件2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广东省手动轮椅车产品质量监督抽查</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实施细则</w:t>
      </w:r>
    </w:p>
    <w:p>
      <w:pPr>
        <w:spacing w:line="590" w:lineRule="exact"/>
        <w:ind w:firstLine="640" w:firstLineChars="200"/>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每款产品抽取2组样本，第1组用于检验，第2组用于备样。每组样本各抽取1辆手动轮椅车。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二、主要检验项目及检验项目属性划分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w:t>
      </w:r>
      <w:r>
        <w:rPr>
          <w:rFonts w:hint="default" w:ascii="Times New Roman" w:hAnsi="Times New Roman" w:eastAsia="楷体_GB2312" w:cs="Times New Roman"/>
          <w:bCs/>
          <w:sz w:val="32"/>
          <w:szCs w:val="32"/>
        </w:rPr>
        <w:t>手动轮椅车（GB/T 13800-2009）</w:t>
      </w:r>
    </w:p>
    <w:tbl>
      <w:tblPr>
        <w:tblStyle w:val="4"/>
        <w:tblW w:w="9225"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775"/>
        <w:gridCol w:w="1485"/>
        <w:gridCol w:w="2085"/>
        <w:gridCol w:w="855"/>
        <w:gridCol w:w="795"/>
        <w:gridCol w:w="915"/>
        <w:gridCol w:w="81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226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检验项目</w:t>
            </w:r>
          </w:p>
        </w:tc>
        <w:tc>
          <w:tcPr>
            <w:tcW w:w="20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检验方法</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强制性</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非强制性</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重要项</w:t>
            </w: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较重</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要项</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26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车轮着地性</w:t>
            </w:r>
          </w:p>
        </w:tc>
        <w:tc>
          <w:tcPr>
            <w:tcW w:w="20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13800-2009中7.4.1</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775"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静态稳定性</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纵向前倾</w:t>
            </w:r>
          </w:p>
        </w:tc>
        <w:tc>
          <w:tcPr>
            <w:tcW w:w="20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13800-2009中7.4.2</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775"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纵向后倾</w:t>
            </w:r>
          </w:p>
        </w:tc>
        <w:tc>
          <w:tcPr>
            <w:tcW w:w="20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13800-2009中7.4.3</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775"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148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侧倾</w:t>
            </w:r>
          </w:p>
        </w:tc>
        <w:tc>
          <w:tcPr>
            <w:tcW w:w="20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13800-2009中7.4.4</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2260" w:type="dxa"/>
            <w:gridSpan w:val="2"/>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驻坡性能</w:t>
            </w:r>
          </w:p>
        </w:tc>
        <w:tc>
          <w:tcPr>
            <w:tcW w:w="20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13800-2009中7.4.5</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775" w:type="dxa"/>
            <w:vMerge w:val="restart"/>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强度</w:t>
            </w:r>
          </w:p>
        </w:tc>
        <w:tc>
          <w:tcPr>
            <w:tcW w:w="1485"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静态强度试验</w:t>
            </w:r>
          </w:p>
        </w:tc>
        <w:tc>
          <w:tcPr>
            <w:tcW w:w="20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13800-2009中7.7.1</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775"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1485"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冲击强度试验</w:t>
            </w:r>
          </w:p>
        </w:tc>
        <w:tc>
          <w:tcPr>
            <w:tcW w:w="20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13800-2009中7.7.2</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775"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1485"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整车冲击</w:t>
            </w:r>
          </w:p>
        </w:tc>
        <w:tc>
          <w:tcPr>
            <w:tcW w:w="20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13800-2009中7.7.3</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775"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1485"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椅座冲击</w:t>
            </w:r>
          </w:p>
        </w:tc>
        <w:tc>
          <w:tcPr>
            <w:tcW w:w="20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13800-2009中7.7.4</w:t>
            </w: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bl>
    <w:p>
      <w:pPr>
        <w:spacing w:line="6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bCs/>
          <w:sz w:val="32"/>
          <w:szCs w:val="32"/>
        </w:rPr>
        <w:t>手动轮椅车（GB/Z 13800-2021）</w:t>
      </w:r>
    </w:p>
    <w:tbl>
      <w:tblPr>
        <w:tblStyle w:val="4"/>
        <w:tblW w:w="94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803"/>
        <w:gridCol w:w="1341"/>
        <w:gridCol w:w="2178"/>
        <w:gridCol w:w="902"/>
        <w:gridCol w:w="803"/>
        <w:gridCol w:w="895"/>
        <w:gridCol w:w="89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214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检验项目</w:t>
            </w:r>
          </w:p>
        </w:tc>
        <w:tc>
          <w:tcPr>
            <w:tcW w:w="21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检验方法</w:t>
            </w:r>
          </w:p>
        </w:tc>
        <w:tc>
          <w:tcPr>
            <w:tcW w:w="9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强制性</w:t>
            </w:r>
          </w:p>
        </w:tc>
        <w:tc>
          <w:tcPr>
            <w:tcW w:w="8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非强制性</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重要项</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较重</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要项</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14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车轮着地性</w:t>
            </w:r>
          </w:p>
        </w:tc>
        <w:tc>
          <w:tcPr>
            <w:tcW w:w="21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GB/Z 13800-2021中7.4.1</w:t>
            </w:r>
          </w:p>
        </w:tc>
        <w:tc>
          <w:tcPr>
            <w:tcW w:w="9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803"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静态稳定性</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纵向前倾</w:t>
            </w:r>
          </w:p>
        </w:tc>
        <w:tc>
          <w:tcPr>
            <w:tcW w:w="21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GB/Z 13800-2021中7.4.2</w:t>
            </w:r>
          </w:p>
        </w:tc>
        <w:tc>
          <w:tcPr>
            <w:tcW w:w="9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803"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纵向后倾</w:t>
            </w:r>
          </w:p>
        </w:tc>
        <w:tc>
          <w:tcPr>
            <w:tcW w:w="21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GB/Z 13800-2021中7.4.3</w:t>
            </w:r>
          </w:p>
        </w:tc>
        <w:tc>
          <w:tcPr>
            <w:tcW w:w="9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803"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侧倾</w:t>
            </w:r>
          </w:p>
        </w:tc>
        <w:tc>
          <w:tcPr>
            <w:tcW w:w="21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GB/Z 13800-2021中7.4.4</w:t>
            </w:r>
          </w:p>
        </w:tc>
        <w:tc>
          <w:tcPr>
            <w:tcW w:w="9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214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驻坡性能</w:t>
            </w:r>
          </w:p>
        </w:tc>
        <w:tc>
          <w:tcPr>
            <w:tcW w:w="21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GB/Z 13800-2021中7.4.5</w:t>
            </w:r>
          </w:p>
        </w:tc>
        <w:tc>
          <w:tcPr>
            <w:tcW w:w="9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803"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强度</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静态强度</w:t>
            </w:r>
          </w:p>
        </w:tc>
        <w:tc>
          <w:tcPr>
            <w:tcW w:w="21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GB/Z 13800-2021中7.6.1</w:t>
            </w:r>
          </w:p>
        </w:tc>
        <w:tc>
          <w:tcPr>
            <w:tcW w:w="9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803"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冲击强度</w:t>
            </w:r>
          </w:p>
        </w:tc>
        <w:tc>
          <w:tcPr>
            <w:tcW w:w="21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GB/Z 13800-2021中7.6.2</w:t>
            </w:r>
          </w:p>
        </w:tc>
        <w:tc>
          <w:tcPr>
            <w:tcW w:w="9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6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803"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椅座冲击</w:t>
            </w:r>
          </w:p>
        </w:tc>
        <w:tc>
          <w:tcPr>
            <w:tcW w:w="21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GB/Z 13800-2021中7.6.3</w:t>
            </w:r>
          </w:p>
        </w:tc>
        <w:tc>
          <w:tcPr>
            <w:tcW w:w="9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注：1.执行企业标准、团体标准、地方标准的产品，检验项目参照上述内容执行。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default" w:ascii="Times New Roman" w:hAnsi="Times New Roman" w:eastAsia="宋体" w:cs="Times New Roman"/>
          <w:sz w:val="21"/>
          <w:szCs w:val="21"/>
        </w:rPr>
      </w:pPr>
      <w:r>
        <w:rPr>
          <w:rFonts w:hint="eastAsia" w:ascii="Times New Roman" w:hAnsi="Times New Roman" w:eastAsia="宋体" w:cs="Times New Roman"/>
          <w:spacing w:val="0"/>
          <w:sz w:val="21"/>
          <w:szCs w:val="21"/>
          <w:lang w:val="en-US" w:eastAsia="zh-CN"/>
        </w:rPr>
        <w:t xml:space="preserve">    </w:t>
      </w:r>
      <w:r>
        <w:rPr>
          <w:rFonts w:hint="default" w:ascii="Times New Roman" w:hAnsi="Times New Roman" w:eastAsia="宋体" w:cs="Times New Roman"/>
          <w:spacing w:val="0"/>
          <w:sz w:val="21"/>
          <w:szCs w:val="21"/>
        </w:rPr>
        <w:t>2.凡是注日期的文件，其随后所有的修改单（不包括勘误的内容）或修订版不适用于本细则。凡是</w:t>
      </w:r>
      <w:r>
        <w:rPr>
          <w:rFonts w:hint="default" w:ascii="Times New Roman" w:hAnsi="Times New Roman" w:eastAsia="宋体" w:cs="Times New Roman"/>
          <w:sz w:val="21"/>
          <w:szCs w:val="21"/>
        </w:rPr>
        <w:t>不注日期的文件，其最新版本适用于本细则。</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三、判定规则</w:t>
      </w:r>
    </w:p>
    <w:p>
      <w:pPr>
        <w:keepNext w:val="0"/>
        <w:keepLines w:val="0"/>
        <w:pageBreakBefore w:val="0"/>
        <w:widowControl/>
        <w:kinsoku/>
        <w:wordWrap/>
        <w:overflowPunct/>
        <w:topLinePunct w:val="0"/>
        <w:autoSpaceDN w:val="0"/>
        <w:bidi w:val="0"/>
        <w:spacing w:line="560" w:lineRule="exact"/>
        <w:ind w:firstLine="640" w:firstLineChars="200"/>
        <w:jc w:val="left"/>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（一）依据标准</w:t>
      </w:r>
    </w:p>
    <w:p>
      <w:pPr>
        <w:keepNext w:val="0"/>
        <w:keepLines w:val="0"/>
        <w:pageBreakBefore w:val="0"/>
        <w:kinsoku/>
        <w:wordWrap/>
        <w:overflowPunct/>
        <w:topLinePunct w:val="0"/>
        <w:bidi w:val="0"/>
        <w:spacing w:line="560" w:lineRule="exact"/>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 xml:space="preserve">    GB/T 13800-2009《手动轮椅车》（</w:t>
      </w:r>
      <w:r>
        <w:rPr>
          <w:rFonts w:hint="default" w:ascii="Times New Roman" w:hAnsi="Times New Roman" w:cs="Times New Roman"/>
          <w:kern w:val="0"/>
          <w:sz w:val="32"/>
          <w:szCs w:val="32"/>
        </w:rPr>
        <w:t>生产日期为</w:t>
      </w:r>
      <w:r>
        <w:rPr>
          <w:rFonts w:hint="default" w:ascii="Times New Roman" w:hAnsi="Times New Roman" w:cs="Times New Roman"/>
          <w:bCs/>
          <w:sz w:val="32"/>
          <w:szCs w:val="32"/>
        </w:rPr>
        <w:t>2021-10-11前适用）</w:t>
      </w:r>
    </w:p>
    <w:p>
      <w:pPr>
        <w:keepNext w:val="0"/>
        <w:keepLines w:val="0"/>
        <w:pageBreakBefore w:val="0"/>
        <w:kinsoku/>
        <w:wordWrap/>
        <w:overflowPunct/>
        <w:topLinePunct w:val="0"/>
        <w:bidi w:val="0"/>
        <w:spacing w:line="560" w:lineRule="exact"/>
        <w:ind w:firstLine="645"/>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GB/Z 13800-2021《手动轮椅车》（</w:t>
      </w:r>
      <w:r>
        <w:rPr>
          <w:rFonts w:hint="default" w:ascii="Times New Roman" w:hAnsi="Times New Roman" w:cs="Times New Roman"/>
          <w:kern w:val="0"/>
          <w:sz w:val="32"/>
          <w:szCs w:val="32"/>
        </w:rPr>
        <w:t>生产日期为</w:t>
      </w:r>
      <w:r>
        <w:rPr>
          <w:rFonts w:hint="default" w:ascii="Times New Roman" w:hAnsi="Times New Roman" w:cs="Times New Roman"/>
          <w:bCs/>
          <w:sz w:val="32"/>
          <w:szCs w:val="32"/>
        </w:rPr>
        <w:t>2021-10-11后适用）</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（二）判定原则</w:t>
      </w:r>
    </w:p>
    <w:p>
      <w:pPr>
        <w:keepNext w:val="0"/>
        <w:keepLines w:val="0"/>
        <w:pageBreakBefore w:val="0"/>
        <w:kinsoku/>
        <w:wordWrap/>
        <w:overflowPunct/>
        <w:topLinePunct w:val="0"/>
        <w:bidi w:val="0"/>
        <w:snapToGrid w:val="0"/>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pStyle w:val="5"/>
        <w:keepNext w:val="0"/>
        <w:keepLines w:val="0"/>
        <w:pageBreakBefore w:val="0"/>
        <w:tabs>
          <w:tab w:val="clear" w:pos="4201"/>
          <w:tab w:val="clear" w:pos="9298"/>
        </w:tabs>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当被检样品明示的质量要求优于监督抽查实施细则中依据的标准要求时，应按被检样品明示的质量要求判定；</w:t>
      </w:r>
    </w:p>
    <w:p>
      <w:pPr>
        <w:pStyle w:val="5"/>
        <w:keepNext w:val="0"/>
        <w:keepLines w:val="0"/>
        <w:pageBreakBefore w:val="0"/>
        <w:tabs>
          <w:tab w:val="clear" w:pos="4201"/>
          <w:tab w:val="clear" w:pos="9298"/>
        </w:tabs>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当被检样品明示的质量要求劣于或不包含监督抽查实施细则中依据的强制性标准要求时，应按照强制性标准要求判定；</w:t>
      </w:r>
    </w:p>
    <w:p>
      <w:pPr>
        <w:pStyle w:val="5"/>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5"/>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当被检样品明示的质量要求不包含监督抽查实施细则中依据的推荐性标准要求时，该指标不参与判定，但应在检验报告中作出说明；</w:t>
      </w:r>
    </w:p>
    <w:p>
      <w:pPr>
        <w:pStyle w:val="5"/>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当被检样品未能提供有效的企业标准时，按相关国家或行业标准进行判定；</w:t>
      </w:r>
    </w:p>
    <w:p>
      <w:pPr>
        <w:pStyle w:val="5"/>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5"/>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按照产品质量相关法律法规的规定判定。</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检验中发现因样品失效或者其他原因致使检验无法进行的，检验人员应如实记录，并提供相关证明材料，报送组织监督抽查的市场监管部门。</w:t>
      </w: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bCs/>
          <w:color w:val="000000"/>
          <w:sz w:val="32"/>
          <w:szCs w:val="32"/>
        </w:rPr>
      </w:pPr>
      <w:r>
        <w:rPr>
          <w:rFonts w:hint="default" w:ascii="Times New Roman" w:hAnsi="Times New Roman" w:eastAsia="黑体" w:cs="Times New Roman"/>
          <w:spacing w:val="-1"/>
          <w:position w:val="1"/>
          <w:sz w:val="32"/>
          <w:szCs w:val="32"/>
        </w:rPr>
        <w:t>附件3</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广东省单臂操作助行器产品质量</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监督抽查实施细则</w:t>
      </w:r>
    </w:p>
    <w:p>
      <w:pPr>
        <w:spacing w:line="500" w:lineRule="exact"/>
        <w:ind w:firstLine="880" w:firstLineChars="200"/>
        <w:rPr>
          <w:rFonts w:ascii="Times New Roman" w:hAnsi="Times New Roman" w:eastAsia="方正小标宋简体" w:cs="方正小标宋简体"/>
          <w:color w:val="000000"/>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每款产品抽取2组样本，第1组用于检验，第2组用于备样。每组样本需抽取样品数量如下表所示：</w:t>
      </w:r>
    </w:p>
    <w:tbl>
      <w:tblPr>
        <w:tblStyle w:val="4"/>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3098"/>
        <w:gridCol w:w="2510"/>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14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序号</w:t>
            </w:r>
          </w:p>
        </w:tc>
        <w:tc>
          <w:tcPr>
            <w:tcW w:w="3098"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产品名称</w:t>
            </w:r>
          </w:p>
        </w:tc>
        <w:tc>
          <w:tcPr>
            <w:tcW w:w="251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第1组数量</w:t>
            </w:r>
          </w:p>
        </w:tc>
        <w:tc>
          <w:tcPr>
            <w:tcW w:w="2510" w:type="dxa"/>
            <w:noWrap/>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14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w:t>
            </w:r>
          </w:p>
        </w:tc>
        <w:tc>
          <w:tcPr>
            <w:tcW w:w="3098"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肘拐杖</w:t>
            </w:r>
          </w:p>
        </w:tc>
        <w:tc>
          <w:tcPr>
            <w:tcW w:w="251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1套</w:t>
            </w:r>
          </w:p>
        </w:tc>
        <w:tc>
          <w:tcPr>
            <w:tcW w:w="251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14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2</w:t>
            </w:r>
          </w:p>
        </w:tc>
        <w:tc>
          <w:tcPr>
            <w:tcW w:w="3098"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腋拐</w:t>
            </w:r>
          </w:p>
        </w:tc>
        <w:tc>
          <w:tcPr>
            <w:tcW w:w="251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1套（1对）</w:t>
            </w:r>
          </w:p>
        </w:tc>
        <w:tc>
          <w:tcPr>
            <w:tcW w:w="251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1套（1对）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4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3</w:t>
            </w:r>
          </w:p>
        </w:tc>
        <w:tc>
          <w:tcPr>
            <w:tcW w:w="3098"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三脚或多脚手杖</w:t>
            </w:r>
          </w:p>
        </w:tc>
        <w:tc>
          <w:tcPr>
            <w:tcW w:w="251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1套</w:t>
            </w:r>
          </w:p>
        </w:tc>
        <w:tc>
          <w:tcPr>
            <w:tcW w:w="251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1套</w:t>
            </w:r>
          </w:p>
        </w:tc>
      </w:tr>
    </w:tbl>
    <w:p>
      <w:pPr>
        <w:spacing w:line="660" w:lineRule="exact"/>
        <w:ind w:firstLine="640" w:firstLineChars="200"/>
        <w:rPr>
          <w:rFonts w:ascii="Times New Roman" w:hAnsi="Times New Roman" w:eastAsia="黑体" w:cs="黑体"/>
          <w:color w:val="FF0000"/>
          <w:sz w:val="32"/>
          <w:szCs w:val="32"/>
        </w:rPr>
      </w:pPr>
      <w:r>
        <w:rPr>
          <w:rFonts w:hint="eastAsia" w:ascii="Times New Roman" w:hAnsi="Times New Roman" w:eastAsia="黑体" w:cs="黑体"/>
          <w:color w:val="000000"/>
          <w:sz w:val="32"/>
          <w:szCs w:val="32"/>
        </w:rPr>
        <w:t>二、主要检验项目及检验项目属性划分</w:t>
      </w:r>
    </w:p>
    <w:p>
      <w:pPr>
        <w:spacing w:line="6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w:t>
      </w:r>
      <w:r>
        <w:rPr>
          <w:rFonts w:hint="eastAsia" w:ascii="楷体_GB2312" w:hAnsi="楷体_GB2312" w:eastAsia="楷体_GB2312" w:cs="楷体_GB2312"/>
          <w:sz w:val="32"/>
          <w:szCs w:val="32"/>
        </w:rPr>
        <w:t>肘拐杖</w:t>
      </w:r>
    </w:p>
    <w:tbl>
      <w:tblPr>
        <w:tblStyle w:val="4"/>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724"/>
        <w:gridCol w:w="2671"/>
        <w:gridCol w:w="798"/>
        <w:gridCol w:w="797"/>
        <w:gridCol w:w="889"/>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tblHeader/>
        </w:trPr>
        <w:tc>
          <w:tcPr>
            <w:tcW w:w="4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172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检验项目</w:t>
            </w:r>
          </w:p>
        </w:tc>
        <w:tc>
          <w:tcPr>
            <w:tcW w:w="26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检验方法</w:t>
            </w:r>
          </w:p>
        </w:tc>
        <w:tc>
          <w:tcPr>
            <w:tcW w:w="7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强制性</w:t>
            </w:r>
          </w:p>
        </w:tc>
        <w:tc>
          <w:tcPr>
            <w:tcW w:w="7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非强制性</w:t>
            </w: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重要项</w:t>
            </w: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较重</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要项</w:t>
            </w: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blHeader/>
        </w:trPr>
        <w:tc>
          <w:tcPr>
            <w:tcW w:w="4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72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肘托</w:t>
            </w:r>
          </w:p>
        </w:tc>
        <w:tc>
          <w:tcPr>
            <w:tcW w:w="26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19545.1-2012中5.3.2、5.4、5.5</w:t>
            </w:r>
          </w:p>
        </w:tc>
        <w:tc>
          <w:tcPr>
            <w:tcW w:w="7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blHeader/>
        </w:trPr>
        <w:tc>
          <w:tcPr>
            <w:tcW w:w="4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72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调节装置-高度调节装置</w:t>
            </w:r>
          </w:p>
        </w:tc>
        <w:tc>
          <w:tcPr>
            <w:tcW w:w="26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19545.1-2012中5.3.2</w:t>
            </w:r>
          </w:p>
        </w:tc>
        <w:tc>
          <w:tcPr>
            <w:tcW w:w="7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blHeader/>
        </w:trPr>
        <w:tc>
          <w:tcPr>
            <w:tcW w:w="4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172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机械强度-分离试验</w:t>
            </w:r>
          </w:p>
        </w:tc>
        <w:tc>
          <w:tcPr>
            <w:tcW w:w="26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19545.1-2012中5.5</w:t>
            </w:r>
          </w:p>
        </w:tc>
        <w:tc>
          <w:tcPr>
            <w:tcW w:w="7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tblHeader/>
        </w:trPr>
        <w:tc>
          <w:tcPr>
            <w:tcW w:w="4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1724" w:type="dxa"/>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机械强度-低温试验</w:t>
            </w:r>
          </w:p>
        </w:tc>
        <w:tc>
          <w:tcPr>
            <w:tcW w:w="26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19545.1-2012中5.8</w:t>
            </w:r>
          </w:p>
        </w:tc>
        <w:tc>
          <w:tcPr>
            <w:tcW w:w="7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bl>
    <w:p>
      <w:pPr>
        <w:spacing w:line="6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（二）</w:t>
      </w:r>
      <w:r>
        <w:rPr>
          <w:rFonts w:hint="eastAsia" w:ascii="楷体_GB2312" w:hAnsi="楷体_GB2312" w:eastAsia="楷体_GB2312" w:cs="楷体_GB2312"/>
          <w:sz w:val="32"/>
          <w:szCs w:val="32"/>
        </w:rPr>
        <w:t>腋拐</w:t>
      </w:r>
    </w:p>
    <w:tbl>
      <w:tblPr>
        <w:tblStyle w:val="4"/>
        <w:tblW w:w="9346"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681"/>
        <w:gridCol w:w="2625"/>
        <w:gridCol w:w="930"/>
        <w:gridCol w:w="805"/>
        <w:gridCol w:w="897"/>
        <w:gridCol w:w="89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tblHeader/>
        </w:trPr>
        <w:tc>
          <w:tcPr>
            <w:tcW w:w="6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检验项目</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检验方法</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强制性</w:t>
            </w:r>
          </w:p>
        </w:tc>
        <w:tc>
          <w:tcPr>
            <w:tcW w:w="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非强制性</w:t>
            </w: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重要项</w:t>
            </w: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较重</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要项</w:t>
            </w: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tblHeader/>
        </w:trPr>
        <w:tc>
          <w:tcPr>
            <w:tcW w:w="6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机械强度-静载强度试验</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19545.2-2009中6.4.2</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tblHeader/>
        </w:trPr>
        <w:tc>
          <w:tcPr>
            <w:tcW w:w="6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机械强度-弯曲强度试验</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19545.2-2009中6.4.3</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tblHeader/>
        </w:trPr>
        <w:tc>
          <w:tcPr>
            <w:tcW w:w="6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1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机械强度-冲击强度试验</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19545.2-2009中6.4.4</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tblHeader/>
        </w:trPr>
        <w:tc>
          <w:tcPr>
            <w:tcW w:w="6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1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机械强度-重物摆动试验</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19545.2-2009中6.4.5</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blHeader/>
        </w:trPr>
        <w:tc>
          <w:tcPr>
            <w:tcW w:w="6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1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机械强度-腋托牢固试验</w:t>
            </w:r>
          </w:p>
        </w:tc>
        <w:tc>
          <w:tcPr>
            <w:tcW w:w="26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19545.2-2009中6.4.6</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bl>
    <w:p>
      <w:pPr>
        <w:spacing w:line="6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（三）</w:t>
      </w:r>
      <w:r>
        <w:rPr>
          <w:rFonts w:hint="eastAsia" w:ascii="楷体_GB2312" w:hAnsi="楷体_GB2312" w:eastAsia="楷体_GB2312" w:cs="楷体_GB2312"/>
          <w:sz w:val="32"/>
          <w:szCs w:val="32"/>
        </w:rPr>
        <w:t>三脚或多脚手杖</w:t>
      </w:r>
    </w:p>
    <w:tbl>
      <w:tblPr>
        <w:tblStyle w:val="4"/>
        <w:tblW w:w="9336"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956"/>
        <w:gridCol w:w="2427"/>
        <w:gridCol w:w="888"/>
        <w:gridCol w:w="705"/>
        <w:gridCol w:w="887"/>
        <w:gridCol w:w="887"/>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atLeast"/>
          <w:tblHeader/>
        </w:trPr>
        <w:tc>
          <w:tcPr>
            <w:tcW w:w="6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19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检验项目</w:t>
            </w:r>
          </w:p>
        </w:tc>
        <w:tc>
          <w:tcPr>
            <w:tcW w:w="24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检验方法</w:t>
            </w:r>
          </w:p>
        </w:tc>
        <w:tc>
          <w:tcPr>
            <w:tcW w:w="8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强制性</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非强制性</w:t>
            </w: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重要项</w:t>
            </w: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较重</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要项</w:t>
            </w: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tblHeader/>
        </w:trPr>
        <w:tc>
          <w:tcPr>
            <w:tcW w:w="6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9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稳定性-向内稳定性试验</w:t>
            </w:r>
          </w:p>
        </w:tc>
        <w:tc>
          <w:tcPr>
            <w:tcW w:w="24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19545.4-2008中5.3</w:t>
            </w:r>
          </w:p>
        </w:tc>
        <w:tc>
          <w:tcPr>
            <w:tcW w:w="8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tblHeader/>
        </w:trPr>
        <w:tc>
          <w:tcPr>
            <w:tcW w:w="6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9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稳定性-向外稳定性试验</w:t>
            </w:r>
          </w:p>
        </w:tc>
        <w:tc>
          <w:tcPr>
            <w:tcW w:w="24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19545.4-2008中5.4</w:t>
            </w:r>
          </w:p>
        </w:tc>
        <w:tc>
          <w:tcPr>
            <w:tcW w:w="8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tblHeader/>
        </w:trPr>
        <w:tc>
          <w:tcPr>
            <w:tcW w:w="6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19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机械强度-分离试验</w:t>
            </w:r>
          </w:p>
        </w:tc>
        <w:tc>
          <w:tcPr>
            <w:tcW w:w="24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19545.4-2008中5.5</w:t>
            </w:r>
          </w:p>
        </w:tc>
        <w:tc>
          <w:tcPr>
            <w:tcW w:w="8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blHeader/>
        </w:trPr>
        <w:tc>
          <w:tcPr>
            <w:tcW w:w="6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19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机械强度-静载试验</w:t>
            </w:r>
          </w:p>
        </w:tc>
        <w:tc>
          <w:tcPr>
            <w:tcW w:w="24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19545.4-2008中5.6</w:t>
            </w:r>
          </w:p>
        </w:tc>
        <w:tc>
          <w:tcPr>
            <w:tcW w:w="8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注：1.执行企业标准、团体标准、地方标准的产品，检验项目参照上述内容执行。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ind w:firstLine="840" w:firstLineChars="4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autoSpaceDE/>
        <w:bidi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三、判定规则</w:t>
      </w:r>
    </w:p>
    <w:p>
      <w:pPr>
        <w:keepNext w:val="0"/>
        <w:keepLines w:val="0"/>
        <w:pageBreakBefore w:val="0"/>
        <w:widowControl/>
        <w:kinsoku/>
        <w:wordWrap/>
        <w:overflowPunct/>
        <w:topLinePunct w:val="0"/>
        <w:autoSpaceDE/>
        <w:autoSpaceDN w:val="0"/>
        <w:bidi w:val="0"/>
        <w:spacing w:line="600" w:lineRule="exact"/>
        <w:ind w:firstLine="640" w:firstLineChars="200"/>
        <w:jc w:val="left"/>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（一）依据标准</w:t>
      </w:r>
    </w:p>
    <w:p>
      <w:pPr>
        <w:keepNext w:val="0"/>
        <w:keepLines w:val="0"/>
        <w:pageBreakBefore w:val="0"/>
        <w:kinsoku/>
        <w:wordWrap/>
        <w:overflowPunct/>
        <w:topLinePunct w:val="0"/>
        <w:autoSpaceDE/>
        <w:bidi w:val="0"/>
        <w:spacing w:line="600" w:lineRule="exact"/>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 xml:space="preserve">    GB/T 19545.1-2012《单臂操作助行器具 要求和试验方法 第1部分：肘拐杖》</w:t>
      </w:r>
    </w:p>
    <w:p>
      <w:pPr>
        <w:keepNext w:val="0"/>
        <w:keepLines w:val="0"/>
        <w:pageBreakBefore w:val="0"/>
        <w:kinsoku/>
        <w:wordWrap/>
        <w:overflowPunct/>
        <w:topLinePunct w:val="0"/>
        <w:autoSpaceDE/>
        <w:bidi w:val="0"/>
        <w:spacing w:line="600" w:lineRule="exact"/>
        <w:ind w:firstLine="645"/>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GB/T 19545.2-2009《单臂操作助行器 要求和试验方法 第2部分:腋拐》</w:t>
      </w:r>
    </w:p>
    <w:p>
      <w:pPr>
        <w:keepNext w:val="0"/>
        <w:keepLines w:val="0"/>
        <w:pageBreakBefore w:val="0"/>
        <w:kinsoku/>
        <w:wordWrap/>
        <w:overflowPunct/>
        <w:topLinePunct w:val="0"/>
        <w:autoSpaceDE/>
        <w:bidi w:val="0"/>
        <w:spacing w:line="60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 xml:space="preserve">GB/T 19545.4-2008《单臂操作助行器具 要求和试验方法 第4部分：三脚或多脚手杖》   </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现行有效的企业标准、团体标准、地方标准及产品明示质量要求。</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（二）判定原则</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当被检样品明示的质量要求劣于或不包含监督抽查实施细则中依据的强制性标准要求时，应按照强制性标准要求判定；</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当被检样品明示的质量要求不包含监督抽查实施细则中依据的推荐性标准要求时，该指标不参与判定，但应在检验报告中作出说明；</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当被检样品未能提供有效的企业标准时，按相关国家或行业标准进行判定；</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按照产品质量相关法律法规的规定判定。</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检验中发现因样品失效或者其他原因致使检验无法进行的，检验人员应如实记录，并提供相关证明材料，报送组织监督抽查的市场监管部门。</w:t>
      </w: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r>
        <w:rPr>
          <w:rFonts w:hint="default" w:ascii="Times New Roman" w:hAnsi="Times New Roman" w:eastAsia="黑体" w:cs="Times New Roman"/>
          <w:spacing w:val="-1"/>
          <w:position w:val="1"/>
          <w:sz w:val="32"/>
          <w:szCs w:val="32"/>
        </w:rPr>
        <w:t>附件4</w:t>
      </w:r>
    </w:p>
    <w:p>
      <w:pPr>
        <w:spacing w:line="590" w:lineRule="exact"/>
        <w:rPr>
          <w:rFonts w:ascii="黑体" w:hAnsi="黑体" w:eastAsia="黑体" w:cs="Times New Roman"/>
          <w:spacing w:val="-1"/>
          <w:position w:val="1"/>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广东省老人折叠拐杖椅产品质量</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监督抽查实施细则</w:t>
      </w:r>
    </w:p>
    <w:p>
      <w:pPr>
        <w:spacing w:line="500" w:lineRule="exact"/>
        <w:ind w:firstLine="880" w:firstLineChars="200"/>
        <w:rPr>
          <w:rFonts w:ascii="Times New Roman" w:hAnsi="Times New Roman" w:eastAsia="方正小标宋简体" w:cs="方正小标宋简体"/>
          <w:color w:val="000000"/>
          <w:sz w:val="44"/>
          <w:szCs w:val="44"/>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每款产品抽取2组样本，第1组用于检验，第2组用于备样。每组样本需抽取样品数量如下表所示：</w:t>
      </w:r>
    </w:p>
    <w:tbl>
      <w:tblPr>
        <w:tblStyle w:val="4"/>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840"/>
        <w:gridCol w:w="2643"/>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752"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序号</w:t>
            </w:r>
          </w:p>
        </w:tc>
        <w:tc>
          <w:tcPr>
            <w:tcW w:w="284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产品名称</w:t>
            </w:r>
          </w:p>
        </w:tc>
        <w:tc>
          <w:tcPr>
            <w:tcW w:w="2643"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第1组数量</w:t>
            </w:r>
          </w:p>
        </w:tc>
        <w:tc>
          <w:tcPr>
            <w:tcW w:w="2643" w:type="dxa"/>
            <w:noWrap/>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752"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w:t>
            </w:r>
          </w:p>
        </w:tc>
        <w:tc>
          <w:tcPr>
            <w:tcW w:w="284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老人折叠拐杖椅（带座手杖）</w:t>
            </w:r>
          </w:p>
        </w:tc>
        <w:tc>
          <w:tcPr>
            <w:tcW w:w="2643"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1套</w:t>
            </w:r>
          </w:p>
        </w:tc>
        <w:tc>
          <w:tcPr>
            <w:tcW w:w="2643"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1套</w:t>
            </w:r>
          </w:p>
        </w:tc>
      </w:tr>
    </w:tbl>
    <w:p>
      <w:pPr>
        <w:spacing w:line="660" w:lineRule="exact"/>
        <w:ind w:firstLine="640" w:firstLineChars="200"/>
        <w:rPr>
          <w:rFonts w:ascii="Times New Roman" w:hAnsi="Times New Roman" w:eastAsia="黑体" w:cs="黑体"/>
          <w:color w:val="FF0000"/>
          <w:sz w:val="32"/>
          <w:szCs w:val="32"/>
        </w:rPr>
      </w:pPr>
      <w:r>
        <w:rPr>
          <w:rFonts w:hint="eastAsia" w:ascii="Times New Roman" w:hAnsi="Times New Roman" w:eastAsia="黑体" w:cs="黑体"/>
          <w:color w:val="000000"/>
          <w:sz w:val="32"/>
          <w:szCs w:val="32"/>
        </w:rPr>
        <w:t>二、主要检验项目及检验项目属性划分</w:t>
      </w:r>
    </w:p>
    <w:tbl>
      <w:tblPr>
        <w:tblStyle w:val="4"/>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864"/>
        <w:gridCol w:w="1059"/>
        <w:gridCol w:w="2055"/>
        <w:gridCol w:w="1077"/>
        <w:gridCol w:w="777"/>
        <w:gridCol w:w="866"/>
        <w:gridCol w:w="866"/>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blHeader/>
        </w:trPr>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192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检验项目</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检验方法</w:t>
            </w:r>
          </w:p>
        </w:tc>
        <w:tc>
          <w:tcPr>
            <w:tcW w:w="10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强制性</w:t>
            </w:r>
          </w:p>
        </w:tc>
        <w:tc>
          <w:tcPr>
            <w:tcW w:w="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非强制性</w:t>
            </w: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重要项</w:t>
            </w: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较重</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要项</w:t>
            </w: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blHeader/>
        </w:trPr>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864"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静载强度试验</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手杖</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19545.5-2021中5.5.1</w:t>
            </w:r>
          </w:p>
        </w:tc>
        <w:tc>
          <w:tcPr>
            <w:tcW w:w="10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blHeader/>
        </w:trPr>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864"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座面</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19545.5-2021中5.5.2</w:t>
            </w:r>
          </w:p>
        </w:tc>
        <w:tc>
          <w:tcPr>
            <w:tcW w:w="10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blHeader/>
        </w:trPr>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192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座位冲击强度试验</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19545.5-2021中5.7</w:t>
            </w:r>
          </w:p>
        </w:tc>
        <w:tc>
          <w:tcPr>
            <w:tcW w:w="10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blHeader/>
        </w:trPr>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192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跌落试验</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19545.5-2021中5.8</w:t>
            </w:r>
          </w:p>
        </w:tc>
        <w:tc>
          <w:tcPr>
            <w:tcW w:w="10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blHeader/>
        </w:trPr>
        <w:tc>
          <w:tcPr>
            <w:tcW w:w="4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192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低温试验</w:t>
            </w:r>
          </w:p>
        </w:tc>
        <w:tc>
          <w:tcPr>
            <w:tcW w:w="2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19545.5-2021中5.9</w:t>
            </w:r>
          </w:p>
        </w:tc>
        <w:tc>
          <w:tcPr>
            <w:tcW w:w="10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 xml:space="preserve">    </w:t>
      </w:r>
      <w:r>
        <w:rPr>
          <w:rFonts w:hint="eastAsia" w:ascii="Times New Roman" w:hAnsi="Times New Roman" w:eastAsia="宋体" w:cs="Times New Roman"/>
          <w:color w:val="000000"/>
          <w:sz w:val="21"/>
          <w:szCs w:val="21"/>
        </w:rPr>
        <w:t>注：1.执行企业标准、团体标准、地方标准的产品，检验项目参照上述内容执行。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 xml:space="preserve">        </w:t>
      </w:r>
      <w:r>
        <w:rPr>
          <w:rFonts w:hint="eastAsia" w:ascii="Times New Roman" w:hAnsi="Times New Roman" w:eastAsia="宋体" w:cs="Times New Roman"/>
          <w:color w:val="000000"/>
          <w:sz w:val="21"/>
          <w:szCs w:val="21"/>
        </w:rPr>
        <w:t>2.凡是注日期的文件，其随后所有的修改单（不包括勘误的内容）或修订版不适用于本细则。凡是不注日期的文件，其最新版本适用于本细则。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autoSpaceDE/>
        <w:bidi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三、判定规则</w:t>
      </w:r>
    </w:p>
    <w:p>
      <w:pPr>
        <w:keepNext w:val="0"/>
        <w:keepLines w:val="0"/>
        <w:pageBreakBefore w:val="0"/>
        <w:widowControl/>
        <w:kinsoku/>
        <w:wordWrap/>
        <w:overflowPunct/>
        <w:topLinePunct w:val="0"/>
        <w:autoSpaceDE/>
        <w:autoSpaceDN w:val="0"/>
        <w:bidi w:val="0"/>
        <w:spacing w:line="600" w:lineRule="exact"/>
        <w:ind w:firstLine="640" w:firstLineChars="200"/>
        <w:jc w:val="left"/>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（一）依据标准</w:t>
      </w:r>
    </w:p>
    <w:p>
      <w:pPr>
        <w:keepNext w:val="0"/>
        <w:keepLines w:val="0"/>
        <w:pageBreakBefore w:val="0"/>
        <w:kinsoku/>
        <w:wordWrap/>
        <w:overflowPunct/>
        <w:topLinePunct w:val="0"/>
        <w:autoSpaceDE/>
        <w:bidi w:val="0"/>
        <w:spacing w:line="600" w:lineRule="exact"/>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 xml:space="preserve">    GB/T 19545.5-2021《单臂操作助行器具 要求和试验方法 第5部分：带座手杖》</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现行有效的企业标准、团体标准、地方标准及产品明示质量要求。</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（二）判定原则</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当被检样品明示的质量要求劣于或不包含监督抽查实施细则中依据的强制性标准要求时，应按照强制性标准要求判定；</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当被检样品明示的质量要求不包含监督抽查实施细则中依据的推荐性标准要求时，该指标不参与判定，但应在检验报告中作出说明；</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当被检样品未能提供有效的企业标准时，按相关国家或行业标准进行判定；</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按照产品质量相关法律法规的规定判定。</w:t>
      </w:r>
    </w:p>
    <w:p>
      <w:pPr>
        <w:keepNext w:val="0"/>
        <w:keepLines w:val="0"/>
        <w:pageBreakBefore w:val="0"/>
        <w:kinsoku/>
        <w:wordWrap/>
        <w:overflowPunct/>
        <w:topLinePunct w:val="0"/>
        <w:autoSpaceDE/>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检验中发现因样品失效或者其他原因致使检验无法进行的，检验人员应如实记录，并提供相关证明材料，报送组织监督抽查的市场监管部门。</w:t>
      </w:r>
    </w:p>
    <w:p>
      <w:pPr>
        <w:rPr>
          <w:rFonts w:hint="eastAsia" w:ascii="仿宋_GB2312" w:hAnsi="仿宋_GB2312" w:cs="仿宋_GB2312"/>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z w:val="32"/>
          <w:szCs w:val="32"/>
        </w:rPr>
      </w:pPr>
      <w:r>
        <w:rPr>
          <w:rFonts w:hint="default" w:ascii="Times New Roman" w:hAnsi="Times New Roman" w:eastAsia="黑体" w:cs="Times New Roman"/>
          <w:spacing w:val="-1"/>
          <w:position w:val="1"/>
          <w:sz w:val="32"/>
          <w:szCs w:val="32"/>
        </w:rPr>
        <w:t>附件5</w:t>
      </w:r>
    </w:p>
    <w:p>
      <w:pPr>
        <w:keepNext w:val="0"/>
        <w:keepLines w:val="0"/>
        <w:pageBreakBefore w:val="0"/>
        <w:widowControl/>
        <w:tabs>
          <w:tab w:val="left" w:pos="2828"/>
        </w:tabs>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广东省汽车风窗玻璃清洗液产品质量</w:t>
      </w:r>
    </w:p>
    <w:p>
      <w:pPr>
        <w:keepNext w:val="0"/>
        <w:keepLines w:val="0"/>
        <w:pageBreakBefore w:val="0"/>
        <w:widowControl/>
        <w:tabs>
          <w:tab w:val="left" w:pos="2828"/>
        </w:tabs>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监督抽查实施细则</w:t>
      </w:r>
    </w:p>
    <w:p>
      <w:pPr>
        <w:keepNext w:val="0"/>
        <w:keepLines w:val="0"/>
        <w:pageBreakBefore w:val="0"/>
        <w:widowControl w:val="0"/>
        <w:kinsoku/>
        <w:wordWrap/>
        <w:overflowPunct/>
        <w:topLinePunct w:val="0"/>
        <w:bidi w:val="0"/>
        <w:adjustRightInd/>
        <w:snapToGrid/>
        <w:spacing w:line="600" w:lineRule="exact"/>
        <w:jc w:val="center"/>
        <w:textAlignment w:val="auto"/>
        <w:rPr>
          <w:rFonts w:ascii="Times New Roman" w:hAnsi="Times New Roman" w:eastAsia="方正小标宋简体" w:cs="方正仿宋简体"/>
          <w:sz w:val="32"/>
          <w:szCs w:val="32"/>
        </w:rPr>
      </w:pP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一、抽样方法</w:t>
      </w:r>
    </w:p>
    <w:p>
      <w:pPr>
        <w:pStyle w:val="5"/>
        <w:keepNext w:val="0"/>
        <w:keepLines w:val="0"/>
        <w:pageBreakBefore w:val="0"/>
        <w:widowControl w:val="0"/>
        <w:tabs>
          <w:tab w:val="clear" w:pos="4201"/>
          <w:tab w:val="clear" w:pos="9298"/>
        </w:tabs>
        <w:kinsoku/>
        <w:wordWrap/>
        <w:overflowPunct/>
        <w:topLinePunct w:val="0"/>
        <w:bidi w:val="0"/>
        <w:adjustRightInd/>
        <w:snapToGrid/>
        <w:spacing w:line="60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以随机抽样的方式在被抽样生产者、销售者的待销产品中抽取。</w:t>
      </w:r>
    </w:p>
    <w:p>
      <w:pPr>
        <w:pStyle w:val="5"/>
        <w:keepNext w:val="0"/>
        <w:keepLines w:val="0"/>
        <w:pageBreakBefore w:val="0"/>
        <w:widowControl w:val="0"/>
        <w:tabs>
          <w:tab w:val="clear" w:pos="4201"/>
          <w:tab w:val="clear" w:pos="9298"/>
        </w:tabs>
        <w:kinsoku/>
        <w:wordWrap/>
        <w:overflowPunct/>
        <w:topLinePunct w:val="0"/>
        <w:bidi w:val="0"/>
        <w:adjustRightInd/>
        <w:snapToGrid/>
        <w:spacing w:line="600" w:lineRule="exact"/>
        <w:ind w:firstLine="64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随机数一般可使用随机数表等方法产生。</w:t>
      </w:r>
    </w:p>
    <w:p>
      <w:pPr>
        <w:pStyle w:val="5"/>
        <w:keepNext w:val="0"/>
        <w:keepLines w:val="0"/>
        <w:pageBreakBefore w:val="0"/>
        <w:widowControl w:val="0"/>
        <w:tabs>
          <w:tab w:val="clear" w:pos="4201"/>
          <w:tab w:val="clear" w:pos="9298"/>
        </w:tabs>
        <w:kinsoku/>
        <w:wordWrap/>
        <w:overflowPunct/>
        <w:topLinePunct w:val="0"/>
        <w:bidi w:val="0"/>
        <w:adjustRightInd/>
        <w:snapToGrid/>
        <w:spacing w:line="600" w:lineRule="exact"/>
        <w:ind w:firstLine="64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每种产品随机抽取不少于2个独立包装，总量不少于6L，其中检验样品不少于3L，备用样品不少于3L。</w:t>
      </w:r>
    </w:p>
    <w:p>
      <w:pPr>
        <w:pStyle w:val="5"/>
        <w:keepNext w:val="0"/>
        <w:keepLines w:val="0"/>
        <w:pageBreakBefore w:val="0"/>
        <w:widowControl w:val="0"/>
        <w:tabs>
          <w:tab w:val="clear" w:pos="4201"/>
          <w:tab w:val="clear" w:pos="9298"/>
        </w:tabs>
        <w:kinsoku/>
        <w:wordWrap/>
        <w:overflowPunct/>
        <w:topLinePunct w:val="0"/>
        <w:bidi w:val="0"/>
        <w:adjustRightInd/>
        <w:snapToGrid/>
        <w:spacing w:line="600" w:lineRule="exact"/>
        <w:ind w:firstLine="640" w:firstLineChars="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主要检验项目及检验项目属性划分</w:t>
      </w:r>
    </w:p>
    <w:tbl>
      <w:tblPr>
        <w:tblStyle w:val="4"/>
        <w:tblW w:w="86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97"/>
        <w:gridCol w:w="2025"/>
        <w:gridCol w:w="1077"/>
        <w:gridCol w:w="780"/>
        <w:gridCol w:w="857"/>
        <w:gridCol w:w="78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1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检验项目</w:t>
            </w:r>
          </w:p>
        </w:tc>
        <w:tc>
          <w:tcPr>
            <w:tcW w:w="20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检验方法</w:t>
            </w:r>
          </w:p>
        </w:tc>
        <w:tc>
          <w:tcPr>
            <w:tcW w:w="10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强制性</w:t>
            </w:r>
          </w:p>
        </w:tc>
        <w:tc>
          <w:tcPr>
            <w:tcW w:w="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非强制性</w:t>
            </w:r>
          </w:p>
        </w:tc>
        <w:tc>
          <w:tcPr>
            <w:tcW w:w="8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重要项</w:t>
            </w:r>
          </w:p>
        </w:tc>
        <w:tc>
          <w:tcPr>
            <w:tcW w:w="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较重要项</w:t>
            </w:r>
          </w:p>
        </w:tc>
        <w:tc>
          <w:tcPr>
            <w:tcW w:w="931"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jc w:val="center"/>
        </w:trPr>
        <w:tc>
          <w:tcPr>
            <w:tcW w:w="65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59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冰点</w:t>
            </w:r>
          </w:p>
        </w:tc>
        <w:tc>
          <w:tcPr>
            <w:tcW w:w="2025"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SH/T 0090-1991</w:t>
            </w:r>
          </w:p>
        </w:tc>
        <w:tc>
          <w:tcPr>
            <w:tcW w:w="107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5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931"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65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59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pH值</w:t>
            </w:r>
          </w:p>
        </w:tc>
        <w:tc>
          <w:tcPr>
            <w:tcW w:w="2025"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SH/T 0069-1991</w:t>
            </w:r>
          </w:p>
        </w:tc>
        <w:tc>
          <w:tcPr>
            <w:tcW w:w="107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5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31"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65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159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相容性</w:t>
            </w:r>
          </w:p>
        </w:tc>
        <w:tc>
          <w:tcPr>
            <w:tcW w:w="2025"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23436-2009 附录C</w:t>
            </w:r>
          </w:p>
        </w:tc>
        <w:tc>
          <w:tcPr>
            <w:tcW w:w="107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5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31"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65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159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对橡胶的影响</w:t>
            </w:r>
          </w:p>
        </w:tc>
        <w:tc>
          <w:tcPr>
            <w:tcW w:w="2025"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23436-2009 附录E</w:t>
            </w:r>
          </w:p>
        </w:tc>
        <w:tc>
          <w:tcPr>
            <w:tcW w:w="107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5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31"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65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159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对塑料的影响</w:t>
            </w:r>
          </w:p>
        </w:tc>
        <w:tc>
          <w:tcPr>
            <w:tcW w:w="2025"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23436-2009 附录F</w:t>
            </w:r>
          </w:p>
        </w:tc>
        <w:tc>
          <w:tcPr>
            <w:tcW w:w="107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5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31"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65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159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热稳定性</w:t>
            </w:r>
          </w:p>
        </w:tc>
        <w:tc>
          <w:tcPr>
            <w:tcW w:w="2025"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23436-2009 附录H</w:t>
            </w:r>
          </w:p>
        </w:tc>
        <w:tc>
          <w:tcPr>
            <w:tcW w:w="107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57"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31" w:type="dxa"/>
            <w:noWrap/>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bl>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三、判定规则</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（一）依据标准</w:t>
      </w:r>
    </w:p>
    <w:p>
      <w:pPr>
        <w:pStyle w:val="5"/>
        <w:keepNext w:val="0"/>
        <w:keepLines w:val="0"/>
        <w:pageBreakBefore w:val="0"/>
        <w:widowControl w:val="0"/>
        <w:tabs>
          <w:tab w:val="clear" w:pos="4201"/>
          <w:tab w:val="clear" w:pos="9298"/>
        </w:tabs>
        <w:kinsoku/>
        <w:wordWrap/>
        <w:overflowPunct/>
        <w:topLinePunct w:val="0"/>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23436-2009《汽车风窗玻璃清洗液》</w:t>
      </w:r>
    </w:p>
    <w:p>
      <w:pPr>
        <w:pStyle w:val="5"/>
        <w:keepNext w:val="0"/>
        <w:keepLines w:val="0"/>
        <w:pageBreakBefore w:val="0"/>
        <w:widowControl w:val="0"/>
        <w:tabs>
          <w:tab w:val="clear" w:pos="4201"/>
          <w:tab w:val="clear" w:pos="9298"/>
        </w:tabs>
        <w:kinsoku/>
        <w:wordWrap/>
        <w:overflowPunct/>
        <w:topLinePunct w:val="0"/>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现行有效的企业标准、团体标准、地方标准及产品明示质量要求。</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（二）判定原则</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pStyle w:val="5"/>
        <w:keepNext w:val="0"/>
        <w:keepLines w:val="0"/>
        <w:pageBreakBefore w:val="0"/>
        <w:tabs>
          <w:tab w:val="clear" w:pos="4201"/>
          <w:tab w:val="clear" w:pos="9298"/>
        </w:tabs>
        <w:kinsoku/>
        <w:wordWrap/>
        <w:overflowPunct/>
        <w:topLinePunct w:val="0"/>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当被检样品明示的质量要求优于监督抽查实施细则中依据的标准要求时，应按被检样品明示的质量要求判定；</w:t>
      </w:r>
    </w:p>
    <w:p>
      <w:pPr>
        <w:pStyle w:val="5"/>
        <w:keepNext w:val="0"/>
        <w:keepLines w:val="0"/>
        <w:pageBreakBefore w:val="0"/>
        <w:tabs>
          <w:tab w:val="clear" w:pos="4201"/>
          <w:tab w:val="clear" w:pos="9298"/>
        </w:tabs>
        <w:kinsoku/>
        <w:wordWrap/>
        <w:overflowPunct/>
        <w:topLinePunct w:val="0"/>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当被检样品明示的质量要求劣于或不包含监督抽查实施细则中依据的强制性标准要求时，应按照强制性标准要求判定；</w:t>
      </w:r>
    </w:p>
    <w:p>
      <w:pPr>
        <w:pStyle w:val="5"/>
        <w:keepNext w:val="0"/>
        <w:keepLines w:val="0"/>
        <w:pageBreakBefore w:val="0"/>
        <w:widowControl w:val="0"/>
        <w:tabs>
          <w:tab w:val="clear" w:pos="4201"/>
          <w:tab w:val="clear" w:pos="9298"/>
        </w:tabs>
        <w:kinsoku/>
        <w:wordWrap/>
        <w:overflowPunct/>
        <w:topLinePunct w:val="0"/>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5"/>
        <w:keepNext w:val="0"/>
        <w:keepLines w:val="0"/>
        <w:pageBreakBefore w:val="0"/>
        <w:widowControl w:val="0"/>
        <w:tabs>
          <w:tab w:val="clear" w:pos="4201"/>
          <w:tab w:val="clear" w:pos="9298"/>
        </w:tabs>
        <w:kinsoku/>
        <w:wordWrap/>
        <w:overflowPunct/>
        <w:topLinePunct w:val="0"/>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当被检样品明示的质量要求不包含监督抽查实施细则中依据的推荐性标准要求时，该指标不参与判定，但应在检验报告中作出说明；</w:t>
      </w:r>
    </w:p>
    <w:p>
      <w:pPr>
        <w:pStyle w:val="5"/>
        <w:keepNext w:val="0"/>
        <w:keepLines w:val="0"/>
        <w:pageBreakBefore w:val="0"/>
        <w:widowControl w:val="0"/>
        <w:tabs>
          <w:tab w:val="clear" w:pos="4201"/>
          <w:tab w:val="clear" w:pos="9298"/>
        </w:tabs>
        <w:kinsoku/>
        <w:wordWrap/>
        <w:overflowPunct/>
        <w:topLinePunct w:val="0"/>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当被检样品未能提供有效的企业标准时，按相关国家或行业标准进行判定；</w:t>
      </w:r>
    </w:p>
    <w:p>
      <w:pPr>
        <w:pStyle w:val="5"/>
        <w:keepNext w:val="0"/>
        <w:keepLines w:val="0"/>
        <w:pageBreakBefore w:val="0"/>
        <w:widowControl w:val="0"/>
        <w:tabs>
          <w:tab w:val="clear" w:pos="4201"/>
          <w:tab w:val="clear" w:pos="9298"/>
        </w:tabs>
        <w:kinsoku/>
        <w:wordWrap/>
        <w:overflowPunct/>
        <w:topLinePunct w:val="0"/>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5"/>
        <w:keepNext w:val="0"/>
        <w:keepLines w:val="0"/>
        <w:pageBreakBefore w:val="0"/>
        <w:widowControl w:val="0"/>
        <w:tabs>
          <w:tab w:val="clear" w:pos="4201"/>
          <w:tab w:val="clear" w:pos="9298"/>
        </w:tabs>
        <w:kinsoku/>
        <w:wordWrap/>
        <w:overflowPunct/>
        <w:topLinePunct w:val="0"/>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按照产品质量相关法律法规的规定判定。</w:t>
      </w:r>
    </w:p>
    <w:p>
      <w:pPr>
        <w:pStyle w:val="5"/>
        <w:keepNext w:val="0"/>
        <w:keepLines w:val="0"/>
        <w:pageBreakBefore w:val="0"/>
        <w:widowControl w:val="0"/>
        <w:tabs>
          <w:tab w:val="clear" w:pos="4201"/>
          <w:tab w:val="clear" w:pos="9298"/>
        </w:tabs>
        <w:kinsoku/>
        <w:wordWrap/>
        <w:overflowPunct/>
        <w:topLinePunct w:val="0"/>
        <w:bidi w:val="0"/>
        <w:adjustRightInd/>
        <w:snapToGri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检验中发现因样品失效或者其他原因致使检验无法进行的，检验人员应如实记录，并提供相关证明材料，报送组织监督抽查的市场监管部门。</w:t>
      </w: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r>
        <w:rPr>
          <w:rFonts w:hint="default" w:ascii="Times New Roman" w:hAnsi="Times New Roman" w:eastAsia="黑体" w:cs="Times New Roman"/>
          <w:spacing w:val="-1"/>
          <w:position w:val="1"/>
          <w:sz w:val="32"/>
          <w:szCs w:val="32"/>
        </w:rPr>
        <w:t>附件6</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广东省软体</w:t>
      </w:r>
      <w:r>
        <w:rPr>
          <w:rFonts w:hint="eastAsia" w:ascii="Times New Roman" w:hAnsi="Times New Roman" w:eastAsia="方正小标宋简体" w:cs="方正小标宋简体"/>
          <w:color w:val="000000"/>
          <w:sz w:val="44"/>
          <w:szCs w:val="44"/>
        </w:rPr>
        <w:t>家具</w:t>
      </w:r>
      <w:r>
        <w:rPr>
          <w:rFonts w:hint="eastAsia" w:ascii="Times New Roman" w:hAnsi="Times New Roman" w:eastAsia="方正小标宋简体" w:cs="方正小标宋简体"/>
          <w:bCs/>
          <w:color w:val="000000"/>
          <w:sz w:val="44"/>
          <w:szCs w:val="44"/>
        </w:rPr>
        <w:t>产品质量监督抽查</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实施细则</w:t>
      </w:r>
    </w:p>
    <w:p>
      <w:pPr>
        <w:spacing w:line="500" w:lineRule="exact"/>
        <w:ind w:firstLine="880" w:firstLineChars="200"/>
        <w:rPr>
          <w:rFonts w:ascii="Times New Roman" w:hAnsi="Times New Roman" w:eastAsia="方正小标宋简体" w:cs="方正小标宋简体"/>
          <w:color w:val="000000"/>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每款产品抽取2组样本，第1组用于检验，第2组用于备样。每组样本需抽取样品数量如下表所示：</w:t>
      </w:r>
    </w:p>
    <w:tbl>
      <w:tblPr>
        <w:tblStyle w:val="4"/>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3746"/>
        <w:gridCol w:w="2024"/>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164"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序号</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产品名称</w:t>
            </w:r>
          </w:p>
        </w:tc>
        <w:tc>
          <w:tcPr>
            <w:tcW w:w="2024"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第1组数量</w:t>
            </w:r>
          </w:p>
        </w:tc>
        <w:tc>
          <w:tcPr>
            <w:tcW w:w="2023"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64"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软体家具</w:t>
            </w:r>
          </w:p>
        </w:tc>
        <w:tc>
          <w:tcPr>
            <w:tcW w:w="2024"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1件</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1件</w:t>
            </w:r>
          </w:p>
        </w:tc>
      </w:tr>
    </w:tbl>
    <w:p>
      <w:pPr>
        <w:spacing w:line="660" w:lineRule="exact"/>
        <w:ind w:firstLine="640" w:firstLineChars="200"/>
        <w:rPr>
          <w:rFonts w:ascii="Times New Roman" w:hAnsi="Times New Roman" w:eastAsia="黑体" w:cs="黑体"/>
          <w:color w:val="FF0000"/>
          <w:sz w:val="32"/>
          <w:szCs w:val="32"/>
        </w:rPr>
      </w:pPr>
      <w:r>
        <w:rPr>
          <w:rFonts w:hint="eastAsia" w:ascii="Times New Roman" w:hAnsi="Times New Roman" w:eastAsia="黑体" w:cs="黑体"/>
          <w:color w:val="000000"/>
          <w:sz w:val="32"/>
          <w:szCs w:val="32"/>
        </w:rPr>
        <w:t>二、主要检验项目及检验项目属性划分</w:t>
      </w:r>
    </w:p>
    <w:p>
      <w:pPr>
        <w:snapToGrid w:val="0"/>
        <w:spacing w:line="440" w:lineRule="exact"/>
        <w:ind w:firstLine="960" w:firstLineChars="3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（一）软体家具（沙发）</w:t>
      </w:r>
    </w:p>
    <w:tbl>
      <w:tblPr>
        <w:tblStyle w:val="4"/>
        <w:tblW w:w="9396" w:type="dxa"/>
        <w:jc w:val="center"/>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664"/>
        <w:gridCol w:w="2955"/>
        <w:gridCol w:w="885"/>
        <w:gridCol w:w="660"/>
        <w:gridCol w:w="902"/>
        <w:gridCol w:w="808"/>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检验项目</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检验方法</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强制性</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非强</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制性</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重要项</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较重</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要项</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木制件用料、加工要求1</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表2中序号2；条款6.2.1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木制件用料、加工要求2</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表2中序号5；条款6.2.1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木制件用料、加工要求3</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表2中序号6；条款6.2.1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4</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木制件用料、加工要求4</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表2中序号7；条款6.2.1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5</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金属件用料要求</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表2中序号10；条款6.2.3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铺垫料用料要求</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表2中序号12；条款6.2.1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7</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泡沫塑料/座面表观密度</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表2中序号13；条款6.2.5.1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8</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泡沫塑料/回弹性能（除慢回弹泡沫塑料外）</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6.2.5.2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9</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泡沫塑料/压缩永久变形</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6.2.5.3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10</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防锈处理</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6.2.1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11</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摩擦声</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6.2.1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12</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面料外观性能要求1</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表3中序号1；条款6.3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13</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面料外观性能要求2</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表3中序号3；条款6.3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14</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金属件外观性能要求1</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表3中序号10；条款6.3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15</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金属件外观性能要求2</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表3中序号11；条款6.3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16</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金属件外观性能要求3</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表3中序号13；条款6.3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17</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木制件外观性能要求</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表3中序号14；条款6.3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18</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饰面外观性能要求1</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表3中序号21；条款6.3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19</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饰面外观性能要求2</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表3中序号23；条款6.3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20</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木制件漆膜涂层理化性能要 求：附着力（交叉切割法）</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6.4.1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21</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木制件漆膜涂层理化性能 要求：耐磨性</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6.4.1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22</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木制件漆膜涂层理化性能 要求：耐冷热温差</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6.4.1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23</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木制件漆膜涂层理化性 能要求:抗冲击</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6.4.1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24</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金属件表面涂层理化性能 要求：附着力</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6.4.2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25</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金属件表面涂层理化性能 要求：耐腐蚀</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6.4.2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26</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金属件电镀层理化性能 要求：耐腐蚀</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6.4.3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27</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覆面材料理化性能： 面料颜色干摩擦牢度</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6.4.4</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28</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覆面材料理化性能： 纺织面料耐酸汗渍色牢度</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1-2012中5.4.2.2；条款6.4.5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29</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覆面材料理化性能：纺织</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面料耐碱汗渍色牢度</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1-2012中5.4.2.3；条款6.4.5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30</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覆面材料理化性能：皮革涂层粘着牢度</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6.4.6</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31</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沙发座、背及扶手耐久性</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表5中序号1；条款6.5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32</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安全性能1</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1-2012中5.6.1；条款6.6.2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33</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安全性能2</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1-2012中5.6.2；条款6.6.2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34</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安全性能3</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1-2012中5.6.3；条款6.6.2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35</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安全性能4</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 1-2012中5.6.4；条款6.6.1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93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确认样品等级（A级、B级、C级），未确认等级的默认为C级。</w:t>
            </w:r>
          </w:p>
        </w:tc>
      </w:tr>
    </w:tbl>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（二）软体家具（弹簧软床垫）</w:t>
      </w:r>
    </w:p>
    <w:tbl>
      <w:tblPr>
        <w:tblStyle w:val="4"/>
        <w:tblW w:w="93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706"/>
        <w:gridCol w:w="2895"/>
        <w:gridCol w:w="847"/>
        <w:gridCol w:w="672"/>
        <w:gridCol w:w="911"/>
        <w:gridCol w:w="750"/>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blHeade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检验项目</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检验方法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强制性</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非强制性</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重要项</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较重要项</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blHeade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面料/破损</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1952.2-2011/表3中序号5；条款6.5</w:t>
            </w:r>
          </w:p>
        </w:tc>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blHeade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铺面、边面缝纫/浮线</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1952.2-2011/表3中序号8；条款6.5</w:t>
            </w:r>
          </w:p>
        </w:tc>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blHeade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缝边</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1952.2-2011/表3中序号15、16、18；条款6.5</w:t>
            </w:r>
          </w:p>
        </w:tc>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blHeade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4</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面料物理性能/面料耐干摩擦色牢度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1952.2-2011 6.6</w:t>
            </w:r>
          </w:p>
        </w:tc>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blHeade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5</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铺垫料物理性能/软质聚氨酯泡沫塑料/回弹性</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1952.2-2011 6.7.2.1</w:t>
            </w:r>
          </w:p>
        </w:tc>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blHeade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铺垫料物理性能/软质聚氨酯泡沫塑料/拉伸强度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1952.2-2011 6.7.2.2</w:t>
            </w:r>
          </w:p>
        </w:tc>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blHeade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7</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卫生、安全</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1952.2-2011/表3中序号24、25、26、27、28、29、32、33；条款6.5、6.8</w:t>
            </w:r>
          </w:p>
        </w:tc>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blHeade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8</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甲醛释放量</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1952.2-2011 6.12</w:t>
            </w:r>
          </w:p>
        </w:tc>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blHeade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9</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弹簧</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1952.2-2011 6.14</w:t>
            </w:r>
          </w:p>
        </w:tc>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blHeade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10</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耐久性</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QB/T 1952.2-2011 6.15</w:t>
            </w:r>
          </w:p>
        </w:tc>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（三）软体家具（棕纤维弹性床垫）</w:t>
      </w:r>
    </w:p>
    <w:tbl>
      <w:tblPr>
        <w:tblStyle w:val="4"/>
        <w:tblW w:w="9178" w:type="dxa"/>
        <w:jc w:val="center"/>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477"/>
        <w:gridCol w:w="1084"/>
        <w:gridCol w:w="2393"/>
        <w:gridCol w:w="709"/>
        <w:gridCol w:w="682"/>
        <w:gridCol w:w="687"/>
        <w:gridCol w:w="825"/>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80" w:leftChars="-25"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23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6" w:lef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adjustRightInd w:val="0"/>
              <w:snapToGrid w:val="0"/>
              <w:ind w:left="-109" w:leftChars="-34"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6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adjustRightInd w:val="0"/>
              <w:snapToGrid w:val="0"/>
              <w:ind w:left="-109" w:leftChars="-34"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8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6" w:leftChars="-33" w:right="-106" w:rightChars="-33"/>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面料及复合面料物理性能（耐摩擦色牢度）</w:t>
            </w:r>
          </w:p>
        </w:tc>
        <w:tc>
          <w:tcPr>
            <w:tcW w:w="2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26706-2011</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6.3.4</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4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芯料物理性能</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含水率</w:t>
            </w:r>
          </w:p>
        </w:tc>
        <w:tc>
          <w:tcPr>
            <w:tcW w:w="2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26706-2011</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6.4.3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压缩永久变形率</w:t>
            </w:r>
          </w:p>
        </w:tc>
        <w:tc>
          <w:tcPr>
            <w:tcW w:w="2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26706-2011</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6.4.4</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安全卫生要求</w:t>
            </w:r>
          </w:p>
        </w:tc>
        <w:tc>
          <w:tcPr>
            <w:tcW w:w="2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26706-2011中表3-序号31、33~38；条款6.5</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阻燃性要求</w:t>
            </w:r>
          </w:p>
        </w:tc>
        <w:tc>
          <w:tcPr>
            <w:tcW w:w="2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26706-2011</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6.6</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耐久性要求</w:t>
            </w:r>
          </w:p>
        </w:tc>
        <w:tc>
          <w:tcPr>
            <w:tcW w:w="23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GB/T 26706-2011</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6.7</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r>
    </w:tbl>
    <w:p>
      <w:pPr>
        <w:adjustRightInd w:val="0"/>
        <w:snapToGrid w:val="0"/>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注：1.执行企业标准、团体标准、地方标准的产品，检验项目参照上述内容执行。</w:t>
      </w:r>
    </w:p>
    <w:p>
      <w:pPr>
        <w:adjustRightInd w:val="0"/>
        <w:snapToGrid w:val="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 xml:space="preserve">        2.凡是注日期的文件，其随后所有的修改单（不包括勘误的内容）或修订版不适用于本细则。凡是不注日期的文件，其最新版本适用于本细则。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三、判定规则</w:t>
      </w:r>
    </w:p>
    <w:p>
      <w:pPr>
        <w:keepNext w:val="0"/>
        <w:keepLines w:val="0"/>
        <w:pageBreakBefore w:val="0"/>
        <w:widowControl/>
        <w:kinsoku/>
        <w:wordWrap/>
        <w:overflowPunct/>
        <w:topLinePunct w:val="0"/>
        <w:autoSpaceDN w:val="0"/>
        <w:bidi w:val="0"/>
        <w:spacing w:line="600" w:lineRule="exact"/>
        <w:ind w:firstLine="641"/>
        <w:jc w:val="left"/>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（一）依据标准</w:t>
      </w:r>
    </w:p>
    <w:p>
      <w:pPr>
        <w:keepNext w:val="0"/>
        <w:keepLines w:val="0"/>
        <w:pageBreakBefore w:val="0"/>
        <w:widowControl/>
        <w:kinsoku/>
        <w:wordWrap/>
        <w:overflowPunct/>
        <w:topLinePunct w:val="0"/>
        <w:autoSpaceDN w:val="0"/>
        <w:bidi w:val="0"/>
        <w:spacing w:line="600" w:lineRule="exact"/>
        <w:ind w:firstLine="641"/>
        <w:jc w:val="left"/>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1</w:t>
      </w:r>
      <w:r>
        <w:rPr>
          <w:rFonts w:hint="eastAsia" w:ascii="Times New Roman" w:hAnsi="Times New Roman" w:cs="Times New Roman"/>
          <w:kern w:val="0"/>
          <w:sz w:val="32"/>
          <w:szCs w:val="32"/>
          <w:lang w:eastAsia="zh-CN"/>
        </w:rPr>
        <w:t>．</w:t>
      </w:r>
      <w:r>
        <w:rPr>
          <w:rFonts w:hint="default" w:ascii="Times New Roman" w:hAnsi="Times New Roman" w:cs="Times New Roman"/>
          <w:kern w:val="0"/>
          <w:sz w:val="32"/>
          <w:szCs w:val="32"/>
        </w:rPr>
        <w:t>推荐性标准。</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GB/T 26706-2011《软体家具 棕纤维弹性床垫》</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QB/T 1952.1-2012《软体家具 沙发》</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QB/T 1952.2-2011《软体家具 弹簧软床垫》</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（二）判定原则</w:t>
      </w:r>
    </w:p>
    <w:p>
      <w:pPr>
        <w:keepNext w:val="0"/>
        <w:keepLines w:val="0"/>
        <w:pageBreakBefore w:val="0"/>
        <w:kinsoku/>
        <w:wordWrap/>
        <w:overflowPunct/>
        <w:topLinePunct w:val="0"/>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当被检样品明示的质量要求劣于或不包含监督抽查实施细则中依据的强制性标准要求时，应按照强制性标准要求判定；</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当被检样品明示的质量要求不包含监督抽查实施细则中依据的推荐性标准要求时，该指标不参与判定，但应在检验报告中作出说明；</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当被检样品未能提供有效的企业标准时，按相关国家或行业标准进行判定；</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按照产品质量相关法律法规的规定判定。</w:t>
      </w:r>
    </w:p>
    <w:p>
      <w:pPr>
        <w:keepNext w:val="0"/>
        <w:keepLines w:val="0"/>
        <w:pageBreakBefore w:val="0"/>
        <w:kinsoku/>
        <w:wordWrap/>
        <w:overflowPunct/>
        <w:topLinePunct w:val="0"/>
        <w:bidi w:val="0"/>
        <w:spacing w:line="60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检验中发现因样品失效或者其他原因致使检验无法进行的，检验人员应如实记录，并提供相关证明材料，报送组织监督抽查的市场监管部门。</w:t>
      </w:r>
    </w:p>
    <w:p>
      <w:pPr>
        <w:spacing w:line="590" w:lineRule="exact"/>
        <w:rPr>
          <w:rFonts w:hint="eastAsia" w:ascii="仿宋_GB2312" w:hAnsi="仿宋_GB2312" w:cs="仿宋_GB2312"/>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r>
        <w:rPr>
          <w:rFonts w:hint="default" w:ascii="Times New Roman" w:hAnsi="Times New Roman" w:eastAsia="黑体" w:cs="Times New Roman"/>
          <w:spacing w:val="-1"/>
          <w:position w:val="1"/>
          <w:sz w:val="32"/>
          <w:szCs w:val="32"/>
        </w:rPr>
        <w:t>附件7</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广东省校用</w:t>
      </w:r>
      <w:r>
        <w:rPr>
          <w:rFonts w:hint="eastAsia" w:ascii="Times New Roman" w:hAnsi="Times New Roman" w:eastAsia="方正小标宋简体" w:cs="方正小标宋简体"/>
          <w:color w:val="000000"/>
          <w:sz w:val="44"/>
          <w:szCs w:val="44"/>
        </w:rPr>
        <w:t>家具</w:t>
      </w:r>
      <w:r>
        <w:rPr>
          <w:rFonts w:hint="eastAsia" w:ascii="Times New Roman" w:hAnsi="Times New Roman" w:eastAsia="方正小标宋简体" w:cs="方正小标宋简体"/>
          <w:bCs/>
          <w:color w:val="000000"/>
          <w:sz w:val="44"/>
          <w:szCs w:val="44"/>
        </w:rPr>
        <w:t>产品质量监督抽查</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实施细则</w:t>
      </w:r>
    </w:p>
    <w:p>
      <w:pPr>
        <w:spacing w:line="500" w:lineRule="exact"/>
        <w:ind w:firstLine="880" w:firstLineChars="200"/>
        <w:rPr>
          <w:rFonts w:ascii="Times New Roman" w:hAnsi="Times New Roman" w:eastAsia="方正小标宋简体" w:cs="方正小标宋简体"/>
          <w:color w:val="000000"/>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每款产品抽取2组样本，第1组用于检验，第2组用于备样。每组样本需抽取样品数量如下表所示：</w:t>
      </w:r>
    </w:p>
    <w:tbl>
      <w:tblPr>
        <w:tblStyle w:val="4"/>
        <w:tblW w:w="90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651"/>
        <w:gridCol w:w="3184"/>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177"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序号</w:t>
            </w:r>
          </w:p>
        </w:tc>
        <w:tc>
          <w:tcPr>
            <w:tcW w:w="2651"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产品名称</w:t>
            </w:r>
          </w:p>
        </w:tc>
        <w:tc>
          <w:tcPr>
            <w:tcW w:w="318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第1组数量</w:t>
            </w:r>
          </w:p>
        </w:tc>
        <w:tc>
          <w:tcPr>
            <w:tcW w:w="2046" w:type="dxa"/>
            <w:noWrap w:val="0"/>
            <w:vAlign w:val="top"/>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177" w:type="dxa"/>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651" w:type="dxa"/>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校用家具</w:t>
            </w:r>
          </w:p>
        </w:tc>
        <w:tc>
          <w:tcPr>
            <w:tcW w:w="3184" w:type="dxa"/>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1件（椅凳类为2件）</w:t>
            </w:r>
          </w:p>
        </w:tc>
        <w:tc>
          <w:tcPr>
            <w:tcW w:w="2046" w:type="dxa"/>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1件</w:t>
            </w:r>
          </w:p>
        </w:tc>
      </w:tr>
    </w:tbl>
    <w:p>
      <w:pPr>
        <w:spacing w:line="660" w:lineRule="exact"/>
        <w:ind w:firstLine="640" w:firstLineChars="200"/>
        <w:rPr>
          <w:rFonts w:ascii="Times New Roman" w:hAnsi="Times New Roman" w:eastAsia="黑体" w:cs="黑体"/>
          <w:color w:val="FF0000"/>
          <w:sz w:val="32"/>
          <w:szCs w:val="32"/>
        </w:rPr>
      </w:pPr>
      <w:r>
        <w:rPr>
          <w:rFonts w:hint="eastAsia" w:ascii="Times New Roman" w:hAnsi="Times New Roman" w:eastAsia="黑体" w:cs="黑体"/>
          <w:color w:val="000000"/>
          <w:sz w:val="32"/>
          <w:szCs w:val="32"/>
        </w:rPr>
        <w:t>二、主要检验项目及检验项目属性划分</w:t>
      </w:r>
    </w:p>
    <w:p>
      <w:pPr>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（一）校用家具（学生公寓多功能家具）</w:t>
      </w:r>
    </w:p>
    <w:tbl>
      <w:tblPr>
        <w:tblStyle w:val="4"/>
        <w:tblW w:w="9010" w:type="dxa"/>
        <w:jc w:val="center"/>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230"/>
        <w:gridCol w:w="1545"/>
        <w:gridCol w:w="1559"/>
        <w:gridCol w:w="753"/>
        <w:gridCol w:w="777"/>
        <w:gridCol w:w="825"/>
        <w:gridCol w:w="78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序号</w:t>
            </w:r>
          </w:p>
        </w:tc>
        <w:tc>
          <w:tcPr>
            <w:tcW w:w="27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检验项目</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检验方法</w:t>
            </w:r>
          </w:p>
        </w:tc>
        <w:tc>
          <w:tcPr>
            <w:tcW w:w="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强制性</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非强</w:t>
            </w:r>
          </w:p>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制性</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重要项</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较重</w:t>
            </w:r>
          </w:p>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要项</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right="-106" w:rightChars="-33"/>
              <w:jc w:val="center"/>
              <w:textAlignment w:val="auto"/>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2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木制件表面理化性能</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耐液性</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表6序号7</w:t>
            </w:r>
          </w:p>
        </w:tc>
        <w:tc>
          <w:tcPr>
            <w:tcW w:w="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2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耐湿热</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表6序号7</w:t>
            </w:r>
          </w:p>
        </w:tc>
        <w:tc>
          <w:tcPr>
            <w:tcW w:w="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2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耐干热</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表6序号7</w:t>
            </w:r>
          </w:p>
        </w:tc>
        <w:tc>
          <w:tcPr>
            <w:tcW w:w="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2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漆膜附着力</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表6序号7</w:t>
            </w:r>
          </w:p>
        </w:tc>
        <w:tc>
          <w:tcPr>
            <w:tcW w:w="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2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耐冷热温差</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表6序号7</w:t>
            </w:r>
          </w:p>
        </w:tc>
        <w:tc>
          <w:tcPr>
            <w:tcW w:w="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2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耐磨</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表6序号7</w:t>
            </w:r>
          </w:p>
        </w:tc>
        <w:tc>
          <w:tcPr>
            <w:tcW w:w="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2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抗冲击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表6序号7</w:t>
            </w:r>
          </w:p>
        </w:tc>
        <w:tc>
          <w:tcPr>
            <w:tcW w:w="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12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金属件表面涂层理化性能</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冲击强度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表6序号8</w:t>
            </w:r>
          </w:p>
        </w:tc>
        <w:tc>
          <w:tcPr>
            <w:tcW w:w="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12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附着力</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表6序号8</w:t>
            </w:r>
          </w:p>
        </w:tc>
        <w:tc>
          <w:tcPr>
            <w:tcW w:w="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12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耐湿热</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表6序号8</w:t>
            </w:r>
          </w:p>
        </w:tc>
        <w:tc>
          <w:tcPr>
            <w:tcW w:w="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1230"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耐腐蚀</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表6序号8</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top"/>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123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桌类力学性能</w:t>
            </w: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桌面垂直静载荷</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123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键盘托（抽屉）滑道强度</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123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柜类力学性能</w:t>
            </w: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拉门垂直加载</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123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拉门水平加载</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w:t>
            </w:r>
          </w:p>
        </w:tc>
        <w:tc>
          <w:tcPr>
            <w:tcW w:w="123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拉门猛关</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w:t>
            </w:r>
          </w:p>
        </w:tc>
        <w:tc>
          <w:tcPr>
            <w:tcW w:w="123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移门猛开</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c>
          <w:tcPr>
            <w:tcW w:w="123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挂衣棍支承件强度</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19</w:t>
            </w:r>
          </w:p>
        </w:tc>
        <w:tc>
          <w:tcPr>
            <w:tcW w:w="123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挂衣棍弯曲</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123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床类力学性能</w:t>
            </w: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铺面均布静载荷</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w:t>
            </w:r>
          </w:p>
        </w:tc>
        <w:tc>
          <w:tcPr>
            <w:tcW w:w="12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铺面集中静荷载</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w:t>
            </w:r>
          </w:p>
        </w:tc>
        <w:tc>
          <w:tcPr>
            <w:tcW w:w="12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铺面冲击</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23</w:t>
            </w:r>
          </w:p>
        </w:tc>
        <w:tc>
          <w:tcPr>
            <w:tcW w:w="123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书架力学性能</w:t>
            </w: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搁板弯曲</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w:t>
            </w:r>
          </w:p>
        </w:tc>
        <w:tc>
          <w:tcPr>
            <w:tcW w:w="123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搁板支承件强度</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123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扶梯力学性能</w:t>
            </w: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挠度和强度</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w:t>
            </w:r>
          </w:p>
        </w:tc>
        <w:tc>
          <w:tcPr>
            <w:tcW w:w="123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安全栏</w:t>
            </w:r>
          </w:p>
        </w:tc>
        <w:tc>
          <w:tcPr>
            <w:tcW w:w="15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静荷载</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表6序号9</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w:t>
            </w:r>
          </w:p>
        </w:tc>
        <w:tc>
          <w:tcPr>
            <w:tcW w:w="277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安装</w:t>
            </w:r>
          </w:p>
        </w:tc>
        <w:tc>
          <w:tcPr>
            <w:tcW w:w="1559"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2741-2013</w:t>
            </w:r>
          </w:p>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5.6表5中序号3、4、5、6、7、8、10；表6序号10</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w:t>
            </w:r>
          </w:p>
        </w:tc>
        <w:tc>
          <w:tcPr>
            <w:tcW w:w="277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有害物质限量</w:t>
            </w:r>
          </w:p>
        </w:tc>
        <w:tc>
          <w:tcPr>
            <w:tcW w:w="1559"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18584</w:t>
            </w:r>
            <w:r>
              <w:rPr>
                <w:rFonts w:hint="default" w:ascii="Times New Roman" w:hAnsi="Times New Roman" w:eastAsia="宋体" w:cs="Times New Roman"/>
                <w:sz w:val="21"/>
                <w:szCs w:val="21"/>
                <w:lang w:val="fr-FR"/>
              </w:rPr>
              <w:t>-200</w:t>
            </w:r>
            <w:r>
              <w:rPr>
                <w:rFonts w:hint="default" w:ascii="Times New Roman" w:hAnsi="Times New Roman" w:eastAsia="宋体" w:cs="Times New Roman"/>
                <w:sz w:val="21"/>
                <w:szCs w:val="21"/>
              </w:rPr>
              <w:t>1</w:t>
            </w:r>
          </w:p>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表6序号11</w:t>
            </w:r>
          </w:p>
        </w:tc>
        <w:tc>
          <w:tcPr>
            <w:tcW w:w="75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（二）校用家具（课桌椅）</w:t>
      </w:r>
    </w:p>
    <w:tbl>
      <w:tblPr>
        <w:tblStyle w:val="4"/>
        <w:tblW w:w="8965" w:type="dxa"/>
        <w:jc w:val="center"/>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19"/>
        <w:gridCol w:w="1491"/>
        <w:gridCol w:w="1942"/>
        <w:gridCol w:w="733"/>
        <w:gridCol w:w="750"/>
        <w:gridCol w:w="722"/>
        <w:gridCol w:w="840"/>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黑体" w:cs="Times New Roman"/>
                <w:b w:val="0"/>
                <w:bCs/>
                <w:kern w:val="0"/>
                <w:sz w:val="21"/>
                <w:szCs w:val="21"/>
              </w:rPr>
            </w:pPr>
            <w:r>
              <w:rPr>
                <w:rFonts w:hint="default" w:ascii="Times New Roman" w:hAnsi="Times New Roman" w:eastAsia="黑体" w:cs="Times New Roman"/>
                <w:b w:val="0"/>
                <w:bCs/>
                <w:kern w:val="0"/>
                <w:sz w:val="21"/>
                <w:szCs w:val="21"/>
              </w:rPr>
              <w:t>序号</w:t>
            </w: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黑体" w:cs="Times New Roman"/>
                <w:b w:val="0"/>
                <w:bCs/>
                <w:kern w:val="0"/>
                <w:sz w:val="21"/>
                <w:szCs w:val="21"/>
              </w:rPr>
            </w:pPr>
            <w:r>
              <w:rPr>
                <w:rFonts w:hint="default" w:ascii="Times New Roman" w:hAnsi="Times New Roman" w:eastAsia="黑体" w:cs="Times New Roman"/>
                <w:b w:val="0"/>
                <w:bCs/>
                <w:kern w:val="0"/>
                <w:sz w:val="21"/>
                <w:szCs w:val="21"/>
              </w:rPr>
              <w:t>检验项目</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黑体" w:cs="Times New Roman"/>
                <w:b w:val="0"/>
                <w:bCs/>
                <w:kern w:val="0"/>
                <w:sz w:val="21"/>
                <w:szCs w:val="21"/>
              </w:rPr>
            </w:pPr>
            <w:r>
              <w:rPr>
                <w:rFonts w:hint="default" w:ascii="Times New Roman" w:hAnsi="Times New Roman" w:eastAsia="黑体" w:cs="Times New Roman"/>
                <w:b w:val="0"/>
                <w:bCs/>
                <w:kern w:val="0"/>
                <w:sz w:val="21"/>
                <w:szCs w:val="21"/>
              </w:rPr>
              <w:t>检验方法</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黑体" w:cs="Times New Roman"/>
                <w:b w:val="0"/>
                <w:bCs/>
                <w:kern w:val="0"/>
                <w:sz w:val="21"/>
                <w:szCs w:val="21"/>
              </w:rPr>
            </w:pPr>
            <w:r>
              <w:rPr>
                <w:rFonts w:hint="default" w:ascii="Times New Roman" w:hAnsi="Times New Roman" w:eastAsia="黑体" w:cs="Times New Roman"/>
                <w:b w:val="0"/>
                <w:bCs/>
                <w:kern w:val="0"/>
                <w:sz w:val="21"/>
                <w:szCs w:val="21"/>
              </w:rPr>
              <w:t>强制性</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黑体" w:cs="Times New Roman"/>
                <w:b w:val="0"/>
                <w:bCs/>
                <w:kern w:val="0"/>
                <w:sz w:val="21"/>
                <w:szCs w:val="21"/>
              </w:rPr>
            </w:pPr>
            <w:r>
              <w:rPr>
                <w:rFonts w:hint="default" w:ascii="Times New Roman" w:hAnsi="Times New Roman" w:eastAsia="黑体" w:cs="Times New Roman"/>
                <w:b w:val="0"/>
                <w:bCs/>
                <w:kern w:val="0"/>
                <w:sz w:val="21"/>
                <w:szCs w:val="21"/>
              </w:rPr>
              <w:t>非强</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黑体" w:cs="Times New Roman"/>
                <w:b w:val="0"/>
                <w:bCs/>
                <w:kern w:val="0"/>
                <w:sz w:val="21"/>
                <w:szCs w:val="21"/>
              </w:rPr>
            </w:pPr>
            <w:r>
              <w:rPr>
                <w:rFonts w:hint="default" w:ascii="Times New Roman" w:hAnsi="Times New Roman" w:eastAsia="黑体" w:cs="Times New Roman"/>
                <w:b w:val="0"/>
                <w:bCs/>
                <w:kern w:val="0"/>
                <w:sz w:val="21"/>
                <w:szCs w:val="21"/>
              </w:rPr>
              <w:t>制性</w:t>
            </w:r>
          </w:p>
        </w:tc>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黑体" w:cs="Times New Roman"/>
                <w:b w:val="0"/>
                <w:bCs/>
                <w:kern w:val="0"/>
                <w:sz w:val="21"/>
                <w:szCs w:val="21"/>
              </w:rPr>
            </w:pPr>
            <w:r>
              <w:rPr>
                <w:rFonts w:hint="default" w:ascii="Times New Roman" w:hAnsi="Times New Roman" w:eastAsia="黑体" w:cs="Times New Roman"/>
                <w:b w:val="0"/>
                <w:bCs/>
                <w:kern w:val="0"/>
                <w:sz w:val="21"/>
                <w:szCs w:val="21"/>
              </w:rPr>
              <w:t>重要项</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黑体" w:cs="Times New Roman"/>
                <w:b w:val="0"/>
                <w:bCs/>
                <w:kern w:val="0"/>
                <w:sz w:val="21"/>
                <w:szCs w:val="21"/>
              </w:rPr>
            </w:pPr>
            <w:r>
              <w:rPr>
                <w:rFonts w:hint="default" w:ascii="Times New Roman" w:hAnsi="Times New Roman" w:eastAsia="黑体" w:cs="Times New Roman"/>
                <w:b w:val="0"/>
                <w:bCs/>
                <w:kern w:val="0"/>
                <w:sz w:val="21"/>
                <w:szCs w:val="21"/>
              </w:rPr>
              <w:t>较重</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黑体" w:cs="Times New Roman"/>
                <w:b w:val="0"/>
                <w:bCs/>
                <w:kern w:val="0"/>
                <w:sz w:val="21"/>
                <w:szCs w:val="21"/>
              </w:rPr>
            </w:pPr>
            <w:r>
              <w:rPr>
                <w:rFonts w:hint="default" w:ascii="Times New Roman" w:hAnsi="Times New Roman" w:eastAsia="黑体" w:cs="Times New Roman"/>
                <w:b w:val="0"/>
                <w:bCs/>
                <w:kern w:val="0"/>
                <w:sz w:val="21"/>
                <w:szCs w:val="21"/>
              </w:rPr>
              <w:t>要项</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黑体" w:cs="Times New Roman"/>
                <w:b w:val="0"/>
                <w:bCs/>
                <w:kern w:val="0"/>
                <w:sz w:val="21"/>
                <w:szCs w:val="21"/>
              </w:rPr>
            </w:pPr>
            <w:r>
              <w:rPr>
                <w:rFonts w:hint="default" w:ascii="Times New Roman" w:hAnsi="Times New Roman" w:eastAsia="黑体" w:cs="Times New Roman"/>
                <w:b w:val="0"/>
                <w:bCs/>
                <w:kern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1</w:t>
            </w:r>
          </w:p>
        </w:tc>
        <w:tc>
          <w:tcPr>
            <w:tcW w:w="81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漆膜理化性能</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耐液性</w:t>
            </w:r>
          </w:p>
        </w:tc>
        <w:tc>
          <w:tcPr>
            <w:tcW w:w="19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表6</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2</w:t>
            </w:r>
          </w:p>
        </w:tc>
        <w:tc>
          <w:tcPr>
            <w:tcW w:w="81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耐湿热</w:t>
            </w:r>
          </w:p>
        </w:tc>
        <w:tc>
          <w:tcPr>
            <w:tcW w:w="19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表6</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3</w:t>
            </w:r>
          </w:p>
        </w:tc>
        <w:tc>
          <w:tcPr>
            <w:tcW w:w="81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耐干热</w:t>
            </w:r>
          </w:p>
        </w:tc>
        <w:tc>
          <w:tcPr>
            <w:tcW w:w="19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表6</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4</w:t>
            </w:r>
          </w:p>
        </w:tc>
        <w:tc>
          <w:tcPr>
            <w:tcW w:w="81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附着力</w:t>
            </w:r>
          </w:p>
        </w:tc>
        <w:tc>
          <w:tcPr>
            <w:tcW w:w="19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表6</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blHeader/>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5</w:t>
            </w:r>
          </w:p>
        </w:tc>
        <w:tc>
          <w:tcPr>
            <w:tcW w:w="81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耐冷热温差</w:t>
            </w:r>
          </w:p>
        </w:tc>
        <w:tc>
          <w:tcPr>
            <w:tcW w:w="19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表6</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6</w:t>
            </w:r>
          </w:p>
        </w:tc>
        <w:tc>
          <w:tcPr>
            <w:tcW w:w="81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耐磨性</w:t>
            </w:r>
          </w:p>
        </w:tc>
        <w:tc>
          <w:tcPr>
            <w:tcW w:w="19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表6</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7</w:t>
            </w:r>
          </w:p>
        </w:tc>
        <w:tc>
          <w:tcPr>
            <w:tcW w:w="81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抗冲击</w:t>
            </w:r>
          </w:p>
        </w:tc>
        <w:tc>
          <w:tcPr>
            <w:tcW w:w="19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表6</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8</w:t>
            </w:r>
          </w:p>
        </w:tc>
        <w:tc>
          <w:tcPr>
            <w:tcW w:w="81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桌面耐污染</w:t>
            </w:r>
          </w:p>
        </w:tc>
        <w:tc>
          <w:tcPr>
            <w:tcW w:w="19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表6</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9</w:t>
            </w:r>
          </w:p>
        </w:tc>
        <w:tc>
          <w:tcPr>
            <w:tcW w:w="81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软硬质覆面理化性能</w:t>
            </w:r>
          </w:p>
        </w:tc>
        <w:tc>
          <w:tcPr>
            <w:tcW w:w="14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耐冷热循环</w:t>
            </w:r>
          </w:p>
        </w:tc>
        <w:tc>
          <w:tcPr>
            <w:tcW w:w="1942"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表7</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10</w:t>
            </w:r>
          </w:p>
        </w:tc>
        <w:tc>
          <w:tcPr>
            <w:tcW w:w="8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耐干热</w:t>
            </w:r>
          </w:p>
        </w:tc>
        <w:tc>
          <w:tcPr>
            <w:tcW w:w="1942"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表7</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11</w:t>
            </w:r>
          </w:p>
        </w:tc>
        <w:tc>
          <w:tcPr>
            <w:tcW w:w="8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耐液性</w:t>
            </w:r>
          </w:p>
        </w:tc>
        <w:tc>
          <w:tcPr>
            <w:tcW w:w="1942"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表7</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12</w:t>
            </w:r>
          </w:p>
        </w:tc>
        <w:tc>
          <w:tcPr>
            <w:tcW w:w="8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表面耐磨性</w:t>
            </w:r>
          </w:p>
        </w:tc>
        <w:tc>
          <w:tcPr>
            <w:tcW w:w="1942"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表7</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13</w:t>
            </w:r>
          </w:p>
        </w:tc>
        <w:tc>
          <w:tcPr>
            <w:tcW w:w="8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抗冲击</w:t>
            </w:r>
          </w:p>
        </w:tc>
        <w:tc>
          <w:tcPr>
            <w:tcW w:w="1942"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表7</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14</w:t>
            </w:r>
          </w:p>
        </w:tc>
        <w:tc>
          <w:tcPr>
            <w:tcW w:w="8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耐光色牢度</w:t>
            </w:r>
          </w:p>
        </w:tc>
        <w:tc>
          <w:tcPr>
            <w:tcW w:w="1942"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表7</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15</w:t>
            </w:r>
          </w:p>
        </w:tc>
        <w:tc>
          <w:tcPr>
            <w:tcW w:w="8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桌面耐污染</w:t>
            </w:r>
          </w:p>
        </w:tc>
        <w:tc>
          <w:tcPr>
            <w:tcW w:w="1942"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表7</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16</w:t>
            </w:r>
          </w:p>
        </w:tc>
        <w:tc>
          <w:tcPr>
            <w:tcW w:w="81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金属喷涂层理化性能</w:t>
            </w:r>
          </w:p>
        </w:tc>
        <w:tc>
          <w:tcPr>
            <w:tcW w:w="14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抗盐雾</w:t>
            </w:r>
          </w:p>
        </w:tc>
        <w:tc>
          <w:tcPr>
            <w:tcW w:w="1942"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6.4.3</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17</w:t>
            </w:r>
          </w:p>
        </w:tc>
        <w:tc>
          <w:tcPr>
            <w:tcW w:w="8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抗冲击</w:t>
            </w:r>
          </w:p>
        </w:tc>
        <w:tc>
          <w:tcPr>
            <w:tcW w:w="1942"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6.4.3</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18</w:t>
            </w:r>
          </w:p>
        </w:tc>
        <w:tc>
          <w:tcPr>
            <w:tcW w:w="8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附着力</w:t>
            </w:r>
          </w:p>
        </w:tc>
        <w:tc>
          <w:tcPr>
            <w:tcW w:w="1942"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6.4.3</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19</w:t>
            </w:r>
          </w:p>
        </w:tc>
        <w:tc>
          <w:tcPr>
            <w:tcW w:w="8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金属件电镀层</w:t>
            </w:r>
          </w:p>
        </w:tc>
        <w:tc>
          <w:tcPr>
            <w:tcW w:w="14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抗盐雾</w:t>
            </w:r>
          </w:p>
        </w:tc>
        <w:tc>
          <w:tcPr>
            <w:tcW w:w="1942"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6.4.3</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20</w:t>
            </w:r>
          </w:p>
        </w:tc>
        <w:tc>
          <w:tcPr>
            <w:tcW w:w="8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塑料桌/椅面理化性能</w:t>
            </w:r>
          </w:p>
        </w:tc>
        <w:tc>
          <w:tcPr>
            <w:tcW w:w="14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耐污染</w:t>
            </w:r>
          </w:p>
        </w:tc>
        <w:tc>
          <w:tcPr>
            <w:tcW w:w="19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6.4.4.1</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21</w:t>
            </w:r>
          </w:p>
        </w:tc>
        <w:tc>
          <w:tcPr>
            <w:tcW w:w="23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安全要求</w:t>
            </w:r>
          </w:p>
        </w:tc>
        <w:tc>
          <w:tcPr>
            <w:tcW w:w="1942"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6.5</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22</w:t>
            </w:r>
          </w:p>
        </w:tc>
        <w:tc>
          <w:tcPr>
            <w:tcW w:w="23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力学性能a</w:t>
            </w:r>
          </w:p>
        </w:tc>
        <w:tc>
          <w:tcPr>
            <w:tcW w:w="19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6.6</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23</w:t>
            </w:r>
          </w:p>
        </w:tc>
        <w:tc>
          <w:tcPr>
            <w:tcW w:w="23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有害物质限量</w:t>
            </w:r>
          </w:p>
        </w:tc>
        <w:tc>
          <w:tcPr>
            <w:tcW w:w="19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QB/T 4071-2021</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6.7</w:t>
            </w:r>
          </w:p>
        </w:tc>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center"/>
              <w:textAlignment w:val="auto"/>
              <w:rPr>
                <w:rFonts w:hint="default" w:ascii="Times New Roman" w:hAnsi="Times New Roman" w:eastAsia="宋体"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965"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注：</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1.确认类型：</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a）小学用课桌椅</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b）中学用课桌椅</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c）大学及其他成人机构用课桌椅</w:t>
            </w:r>
          </w:p>
          <w:p>
            <w:pPr>
              <w:keepNext w:val="0"/>
              <w:keepLines w:val="0"/>
              <w:pageBreakBefore w:val="0"/>
              <w:widowControl w:val="0"/>
              <w:kinsoku/>
              <w:wordWrap/>
              <w:overflowPunct/>
              <w:topLinePunct w:val="0"/>
              <w:autoSpaceDE/>
              <w:autoSpaceDN/>
              <w:bidi w:val="0"/>
              <w:adjustRightInd w:val="0"/>
              <w:snapToGrid w:val="0"/>
              <w:spacing w:line="320" w:lineRule="exact"/>
              <w:ind w:left="-80" w:leftChars="-25" w:right="-106" w:rightChars="-33"/>
              <w:jc w:val="left"/>
              <w:textAlignment w:val="auto"/>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a具体项目包括：桌面垂直静载荷、桌面垂直冲击、桌腿跌落、桌面水平静载荷、椅子向前倾翻、椅子侧向倾翻（有扶手和无扶手）、椅子向后倾翻、凳子任意方向倾翻、座面、椅背联合静载荷、座面侧向静载荷、椅腿向前静载荷、椅腿侧向静载荷、座面冲击、椅背冲击、踏脚静载荷、椅腿跌落、枕靠侧向静载荷、扶手侧向静载荷、扶手垂直向下静载荷、椅扶手冲击</w:t>
            </w:r>
          </w:p>
        </w:tc>
      </w:tr>
    </w:tbl>
    <w:p>
      <w:pPr>
        <w:keepNext w:val="0"/>
        <w:keepLines w:val="0"/>
        <w:pageBreakBefore w:val="0"/>
        <w:widowControl w:val="0"/>
        <w:kinsoku/>
        <w:wordWrap/>
        <w:overflowPunct/>
        <w:topLinePunct w:val="0"/>
        <w:autoSpaceDE/>
        <w:autoSpaceDN/>
        <w:bidi w:val="0"/>
        <w:adjustRightInd w:val="0"/>
        <w:snapToGrid w:val="0"/>
        <w:spacing w:line="500" w:lineRule="exact"/>
        <w:ind w:left="-80" w:leftChars="-25" w:right="-106" w:rightChars="-33" w:firstLine="420" w:firstLineChars="200"/>
        <w:jc w:val="left"/>
        <w:textAlignment w:val="auto"/>
        <w:rPr>
          <w:rFonts w:hint="default" w:ascii="Times New Roman" w:hAnsi="Times New Roman" w:eastAsia="宋体" w:cs="Times New Roman"/>
          <w:b w:val="0"/>
          <w:bCs/>
          <w:kern w:val="0"/>
          <w:sz w:val="21"/>
          <w:szCs w:val="21"/>
        </w:rPr>
      </w:pPr>
      <w:r>
        <w:rPr>
          <w:rFonts w:hint="eastAsia" w:ascii="Times New Roman" w:hAnsi="Times New Roman" w:eastAsia="宋体" w:cs="Times New Roman"/>
          <w:b w:val="0"/>
          <w:bCs/>
          <w:kern w:val="0"/>
          <w:sz w:val="21"/>
          <w:szCs w:val="21"/>
        </w:rPr>
        <w:t>注：1.执行企业标准、团体标准、地方标准的产品，检验项目参照上述内容执行。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ind w:left="-80" w:leftChars="-25" w:right="-106" w:rightChars="-33"/>
        <w:jc w:val="left"/>
        <w:textAlignment w:val="auto"/>
        <w:rPr>
          <w:rFonts w:hint="default" w:ascii="Times New Roman" w:hAnsi="Times New Roman" w:eastAsia="宋体" w:cs="Times New Roman"/>
          <w:b w:val="0"/>
          <w:bCs/>
          <w:kern w:val="0"/>
          <w:sz w:val="21"/>
          <w:szCs w:val="21"/>
        </w:rPr>
      </w:pPr>
      <w:r>
        <w:rPr>
          <w:rFonts w:hint="eastAsia" w:ascii="Times New Roman" w:hAnsi="Times New Roman" w:eastAsia="宋体" w:cs="Times New Roman"/>
          <w:b w:val="0"/>
          <w:bCs/>
          <w:kern w:val="0"/>
          <w:sz w:val="21"/>
          <w:szCs w:val="21"/>
        </w:rPr>
        <w:t xml:space="preserve">        2.凡是注日期的文件，其随后所有的修改单（不包括勘误的内容）或修订版不适用于本细则。凡是不注日期的文件，其最新版本适用于本细则。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三、判定规则</w:t>
      </w:r>
    </w:p>
    <w:p>
      <w:pPr>
        <w:keepNext w:val="0"/>
        <w:keepLines w:val="0"/>
        <w:pageBreakBefore w:val="0"/>
        <w:widowControl/>
        <w:kinsoku/>
        <w:wordWrap/>
        <w:overflowPunct/>
        <w:topLinePunct w:val="0"/>
        <w:autoSpaceDN w:val="0"/>
        <w:bidi w:val="0"/>
        <w:spacing w:line="580" w:lineRule="exact"/>
        <w:ind w:firstLine="641"/>
        <w:jc w:val="left"/>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（一）依据标准</w:t>
      </w:r>
    </w:p>
    <w:p>
      <w:pPr>
        <w:keepNext w:val="0"/>
        <w:keepLines w:val="0"/>
        <w:pageBreakBefore w:val="0"/>
        <w:widowControl/>
        <w:kinsoku/>
        <w:wordWrap/>
        <w:overflowPunct/>
        <w:topLinePunct w:val="0"/>
        <w:autoSpaceDN w:val="0"/>
        <w:bidi w:val="0"/>
        <w:spacing w:line="580" w:lineRule="exact"/>
        <w:ind w:firstLine="641"/>
        <w:jc w:val="left"/>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1</w:t>
      </w:r>
      <w:r>
        <w:rPr>
          <w:rFonts w:hint="eastAsia" w:ascii="Times New Roman" w:hAnsi="Times New Roman" w:cs="Times New Roman"/>
          <w:kern w:val="0"/>
          <w:sz w:val="32"/>
          <w:szCs w:val="32"/>
          <w:lang w:eastAsia="zh-CN"/>
        </w:rPr>
        <w:t>．</w:t>
      </w:r>
      <w:r>
        <w:rPr>
          <w:rFonts w:hint="default" w:ascii="Times New Roman" w:hAnsi="Times New Roman" w:cs="Times New Roman"/>
          <w:kern w:val="0"/>
          <w:sz w:val="32"/>
          <w:szCs w:val="32"/>
        </w:rPr>
        <w:t>强制性标准。</w:t>
      </w:r>
    </w:p>
    <w:p>
      <w:pPr>
        <w:keepNext w:val="0"/>
        <w:keepLines w:val="0"/>
        <w:pageBreakBefore w:val="0"/>
        <w:widowControl/>
        <w:kinsoku/>
        <w:wordWrap/>
        <w:overflowPunct/>
        <w:topLinePunct w:val="0"/>
        <w:autoSpaceDN w:val="0"/>
        <w:bidi w:val="0"/>
        <w:spacing w:line="580" w:lineRule="exact"/>
        <w:ind w:firstLine="641"/>
        <w:jc w:val="left"/>
        <w:textAlignment w:val="auto"/>
        <w:rPr>
          <w:rFonts w:hint="default" w:ascii="Times New Roman" w:hAnsi="Times New Roman" w:cs="Times New Roman"/>
          <w:kern w:val="0"/>
          <w:sz w:val="32"/>
          <w:szCs w:val="32"/>
        </w:rPr>
      </w:pPr>
      <w:r>
        <w:rPr>
          <w:rFonts w:hint="default" w:ascii="Times New Roman" w:hAnsi="Times New Roman" w:cs="Times New Roman"/>
          <w:color w:val="000000"/>
          <w:sz w:val="32"/>
          <w:szCs w:val="32"/>
        </w:rPr>
        <w:t>GB</w:t>
      </w:r>
      <w:r>
        <w:rPr>
          <w:rFonts w:hint="default" w:ascii="Times New Roman" w:hAnsi="Times New Roman" w:cs="Times New Roman"/>
          <w:kern w:val="0"/>
          <w:sz w:val="32"/>
          <w:szCs w:val="32"/>
        </w:rPr>
        <w:t xml:space="preserve"> 18584-2001《室内装饰装修材料木家具中有害物质限量》</w:t>
      </w:r>
    </w:p>
    <w:p>
      <w:pPr>
        <w:keepNext w:val="0"/>
        <w:keepLines w:val="0"/>
        <w:pageBreakBefore w:val="0"/>
        <w:widowControl w:val="0"/>
        <w:kinsoku/>
        <w:wordWrap/>
        <w:overflowPunct/>
        <w:topLinePunct w:val="0"/>
        <w:autoSpaceDN/>
        <w:bidi w:val="0"/>
        <w:spacing w:line="580" w:lineRule="exact"/>
        <w:ind w:firstLine="960" w:firstLineChars="300"/>
        <w:jc w:val="both"/>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GB 28481-2012《塑料家具中有害物质限量》</w:t>
      </w:r>
    </w:p>
    <w:p>
      <w:pPr>
        <w:keepNext w:val="0"/>
        <w:keepLines w:val="0"/>
        <w:pageBreakBefore w:val="0"/>
        <w:widowControl/>
        <w:kinsoku/>
        <w:wordWrap/>
        <w:overflowPunct/>
        <w:topLinePunct w:val="0"/>
        <w:autoSpaceDN w:val="0"/>
        <w:bidi w:val="0"/>
        <w:spacing w:line="580" w:lineRule="exact"/>
        <w:ind w:firstLine="641"/>
        <w:jc w:val="left"/>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2.推荐性标准。</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QB/T 2741-2013《学生公寓多功能家具》</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QB/T 4071-2021《课桌椅》</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（二）判定原则</w:t>
      </w:r>
    </w:p>
    <w:p>
      <w:pPr>
        <w:keepNext w:val="0"/>
        <w:keepLines w:val="0"/>
        <w:pageBreakBefore w:val="0"/>
        <w:kinsoku/>
        <w:wordWrap/>
        <w:overflowPunct/>
        <w:topLinePunct w:val="0"/>
        <w:bidi w:val="0"/>
        <w:snapToGrid w:val="0"/>
        <w:spacing w:line="58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当被检样品明示的质量要求劣于或不包含监督抽查实施细则中依据的强制性标准要求时，应按照强制性标准要求判定；</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当被检样品明示的质量要求不包含监督抽查实施细则中依据的推荐性标准要求时，该指标不参与判定，但应在检验报告中作出说明；</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当被检样品未能提供有效的企业标准时，按相关国家或行业标准进行判定；</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kinsoku/>
        <w:wordWrap/>
        <w:overflowPunct/>
        <w:topLinePunct w:val="0"/>
        <w:autoSpaceDE w:val="0"/>
        <w:autoSpaceDN w:val="0"/>
        <w:bidi w:val="0"/>
        <w:spacing w:line="58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按照产品质量相关法律法规的规定判定。</w:t>
      </w:r>
    </w:p>
    <w:p>
      <w:pPr>
        <w:keepNext w:val="0"/>
        <w:keepLines w:val="0"/>
        <w:pageBreakBefore w:val="0"/>
        <w:kinsoku/>
        <w:wordWrap/>
        <w:overflowPunct/>
        <w:topLinePunct w:val="0"/>
        <w:bidi w:val="0"/>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检验中发现因样品失效或者其他原因致使检验无法进行的，检验人员应如实记录，并提供相关证明材料，报送组织监督抽查的市场监管部门。</w:t>
      </w:r>
    </w:p>
    <w:p>
      <w:pPr>
        <w:keepNext w:val="0"/>
        <w:keepLines w:val="0"/>
        <w:pageBreakBefore w:val="0"/>
        <w:kinsoku/>
        <w:wordWrap/>
        <w:overflowPunct/>
        <w:topLinePunct w:val="0"/>
        <w:bidi w:val="0"/>
        <w:spacing w:line="580" w:lineRule="exact"/>
        <w:textAlignment w:val="auto"/>
        <w:rPr>
          <w:rFonts w:hint="default" w:ascii="Times New Roman" w:hAnsi="Times New Roman" w:cs="Times New Roman"/>
          <w:sz w:val="32"/>
          <w:szCs w:val="32"/>
        </w:rPr>
      </w:pPr>
    </w:p>
    <w:p>
      <w:pPr>
        <w:keepNext w:val="0"/>
        <w:keepLines w:val="0"/>
        <w:pageBreakBefore w:val="0"/>
        <w:kinsoku/>
        <w:wordWrap/>
        <w:overflowPunct/>
        <w:topLinePunct w:val="0"/>
        <w:bidi w:val="0"/>
        <w:spacing w:line="580" w:lineRule="exact"/>
        <w:textAlignment w:val="auto"/>
        <w:rPr>
          <w:rFonts w:hint="default" w:ascii="Times New Roman" w:hAnsi="Times New Roman" w:eastAsia="方正黑体_GBK" w:cs="Times New Roman"/>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eastAsia" w:ascii="方正黑体_GBK" w:hAnsi="方正黑体_GBK" w:eastAsia="方正黑体_GBK" w:cs="方正黑体_GBK"/>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p>
    <w:p>
      <w:pPr>
        <w:spacing w:line="590" w:lineRule="exact"/>
        <w:rPr>
          <w:rFonts w:hint="default" w:ascii="Times New Roman" w:hAnsi="Times New Roman" w:eastAsia="黑体" w:cs="Times New Roman"/>
          <w:spacing w:val="-1"/>
          <w:position w:val="1"/>
          <w:sz w:val="32"/>
          <w:szCs w:val="32"/>
        </w:rPr>
      </w:pPr>
      <w:bookmarkStart w:id="0" w:name="_GoBack"/>
      <w:bookmarkEnd w:id="0"/>
      <w:r>
        <w:rPr>
          <w:rFonts w:hint="default" w:ascii="Times New Roman" w:hAnsi="Times New Roman" w:eastAsia="黑体" w:cs="Times New Roman"/>
          <w:spacing w:val="-1"/>
          <w:position w:val="1"/>
          <w:sz w:val="32"/>
          <w:szCs w:val="32"/>
        </w:rPr>
        <w:t>附件8</w:t>
      </w:r>
    </w:p>
    <w:p>
      <w:pPr>
        <w:widowControl/>
        <w:spacing w:line="620" w:lineRule="exact"/>
        <w:jc w:val="center"/>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广东省办公</w:t>
      </w:r>
      <w:r>
        <w:rPr>
          <w:rFonts w:hint="eastAsia" w:ascii="Times New Roman" w:hAnsi="Times New Roman" w:eastAsia="方正小标宋简体" w:cs="方正小标宋简体"/>
          <w:color w:val="000000"/>
          <w:sz w:val="44"/>
          <w:szCs w:val="44"/>
        </w:rPr>
        <w:t>家具</w:t>
      </w:r>
      <w:r>
        <w:rPr>
          <w:rFonts w:hint="eastAsia" w:ascii="Times New Roman" w:hAnsi="Times New Roman" w:eastAsia="方正小标宋简体" w:cs="方正小标宋简体"/>
          <w:bCs/>
          <w:color w:val="000000"/>
          <w:sz w:val="44"/>
          <w:szCs w:val="44"/>
        </w:rPr>
        <w:t>产品质量监督抽查</w:t>
      </w: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实施细则</w:t>
      </w:r>
    </w:p>
    <w:p>
      <w:pPr>
        <w:spacing w:line="500" w:lineRule="exact"/>
        <w:ind w:firstLine="880" w:firstLineChars="200"/>
        <w:rPr>
          <w:rFonts w:ascii="Times New Roman" w:hAnsi="Times New Roman" w:eastAsia="方正小标宋简体" w:cs="方正小标宋简体"/>
          <w:color w:val="000000"/>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每款产品抽取2组样本，第1组用于检验，第2组用于备样。每组样本需抽取样品数量如下表所示：</w:t>
      </w:r>
    </w:p>
    <w:tbl>
      <w:tblPr>
        <w:tblStyle w:val="4"/>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3746"/>
        <w:gridCol w:w="2024"/>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164"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序号</w:t>
            </w:r>
          </w:p>
        </w:tc>
        <w:tc>
          <w:tcPr>
            <w:tcW w:w="374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产品名称</w:t>
            </w:r>
          </w:p>
        </w:tc>
        <w:tc>
          <w:tcPr>
            <w:tcW w:w="2024"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第1组数量</w:t>
            </w:r>
          </w:p>
        </w:tc>
        <w:tc>
          <w:tcPr>
            <w:tcW w:w="2023" w:type="dxa"/>
            <w:noWrap w:val="0"/>
            <w:vAlign w:val="top"/>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16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p>
        </w:tc>
        <w:tc>
          <w:tcPr>
            <w:tcW w:w="374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办公家具（钢制资料柜）</w:t>
            </w:r>
          </w:p>
        </w:tc>
        <w:tc>
          <w:tcPr>
            <w:tcW w:w="2024"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1件</w:t>
            </w:r>
          </w:p>
        </w:tc>
        <w:tc>
          <w:tcPr>
            <w:tcW w:w="2023"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16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p>
        </w:tc>
        <w:tc>
          <w:tcPr>
            <w:tcW w:w="374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办公家具（办公椅）</w:t>
            </w:r>
          </w:p>
        </w:tc>
        <w:tc>
          <w:tcPr>
            <w:tcW w:w="2024"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3张</w:t>
            </w:r>
          </w:p>
        </w:tc>
        <w:tc>
          <w:tcPr>
            <w:tcW w:w="2023"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116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p>
        </w:tc>
        <w:tc>
          <w:tcPr>
            <w:tcW w:w="374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办公家具 阅览桌、椅、凳</w:t>
            </w:r>
          </w:p>
        </w:tc>
        <w:tc>
          <w:tcPr>
            <w:tcW w:w="2024"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阅览桌：1件</w:t>
            </w:r>
          </w:p>
          <w:p>
            <w:pPr>
              <w:keepNext w:val="0"/>
              <w:keepLines w:val="0"/>
              <w:pageBreakBefore w:val="0"/>
              <w:kinsoku/>
              <w:wordWrap/>
              <w:overflowPunct/>
              <w:topLinePunct w:val="0"/>
              <w:autoSpaceDE/>
              <w:autoSpaceDN/>
              <w:bidi w:val="0"/>
              <w:spacing w:line="320" w:lineRule="exact"/>
              <w:jc w:val="center"/>
              <w:textAlignment w:val="auto"/>
              <w:outlineLvl w:val="0"/>
              <w:rPr>
                <w:rFonts w:hint="default" w:ascii="Times New Roman" w:hAnsi="Times New Roman" w:eastAsia="宋体" w:cs="Times New Roman"/>
                <w:b w:val="0"/>
                <w:bCs w:val="0"/>
                <w:kern w:val="44"/>
                <w:sz w:val="21"/>
                <w:szCs w:val="21"/>
              </w:rPr>
            </w:pPr>
            <w:r>
              <w:rPr>
                <w:rFonts w:hint="default" w:ascii="Times New Roman" w:hAnsi="Times New Roman" w:eastAsia="宋体" w:cs="Times New Roman"/>
                <w:b w:val="0"/>
                <w:bCs w:val="0"/>
                <w:sz w:val="21"/>
                <w:szCs w:val="21"/>
              </w:rPr>
              <w:t>椅、凳：2件</w:t>
            </w:r>
          </w:p>
        </w:tc>
        <w:tc>
          <w:tcPr>
            <w:tcW w:w="2023"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16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p>
        </w:tc>
        <w:tc>
          <w:tcPr>
            <w:tcW w:w="3746"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办公家具 木制柜、架</w:t>
            </w:r>
          </w:p>
        </w:tc>
        <w:tc>
          <w:tcPr>
            <w:tcW w:w="2024"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1件</w:t>
            </w:r>
          </w:p>
        </w:tc>
        <w:tc>
          <w:tcPr>
            <w:tcW w:w="2023" w:type="dxa"/>
            <w:noWrap w:val="0"/>
            <w:vAlign w:val="center"/>
          </w:tcPr>
          <w:p>
            <w:pPr>
              <w:keepNext w:val="0"/>
              <w:keepLines w:val="0"/>
              <w:pageBreakBefore w:val="0"/>
              <w:kinsoku/>
              <w:wordWrap/>
              <w:overflowPunct/>
              <w:topLinePunct w:val="0"/>
              <w:autoSpaceDE/>
              <w:autoSpaceDN/>
              <w:bidi w:val="0"/>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1件</w:t>
            </w:r>
          </w:p>
        </w:tc>
      </w:tr>
    </w:tbl>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黑体" w:cs="黑体"/>
          <w:color w:val="FF0000"/>
          <w:sz w:val="32"/>
          <w:szCs w:val="32"/>
        </w:rPr>
      </w:pPr>
      <w:r>
        <w:rPr>
          <w:rFonts w:hint="eastAsia" w:ascii="Times New Roman" w:hAnsi="Times New Roman" w:eastAsia="黑体" w:cs="黑体"/>
          <w:color w:val="000000"/>
          <w:sz w:val="32"/>
          <w:szCs w:val="32"/>
        </w:rPr>
        <w:t>二、主要检验项目及检验项目属性划分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color w:val="000000"/>
          <w:sz w:val="32"/>
          <w:szCs w:val="32"/>
        </w:rPr>
        <w:t>（一）</w:t>
      </w:r>
      <w:r>
        <w:rPr>
          <w:rFonts w:hint="eastAsia" w:ascii="楷体_GB2312" w:hAnsi="楷体_GB2312" w:eastAsia="楷体_GB2312" w:cs="楷体_GB2312"/>
          <w:sz w:val="32"/>
          <w:szCs w:val="32"/>
        </w:rPr>
        <w:t>办公家具（钢制资料柜）</w:t>
      </w:r>
    </w:p>
    <w:tbl>
      <w:tblPr>
        <w:tblStyle w:val="4"/>
        <w:tblW w:w="8920" w:type="dxa"/>
        <w:jc w:val="center"/>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819"/>
        <w:gridCol w:w="1043"/>
        <w:gridCol w:w="1880"/>
        <w:gridCol w:w="913"/>
        <w:gridCol w:w="814"/>
        <w:gridCol w:w="973"/>
        <w:gridCol w:w="85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序号</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检验项目</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检验方法</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强制性</w:t>
            </w: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非强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制性</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重要项</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较重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要项</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p>
        </w:tc>
        <w:tc>
          <w:tcPr>
            <w:tcW w:w="81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金属喷漆（塑）涂层</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硬度</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13668-2015</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表3序号1</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p>
        </w:tc>
        <w:tc>
          <w:tcPr>
            <w:tcW w:w="81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1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冲击强度</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13668-2015</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表3序号1</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p>
        </w:tc>
        <w:tc>
          <w:tcPr>
            <w:tcW w:w="81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1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附着力</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13668-2015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表3序号1</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p>
        </w:tc>
        <w:tc>
          <w:tcPr>
            <w:tcW w:w="81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1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耐腐蚀</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13668-2015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表3序号1</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w:t>
            </w:r>
          </w:p>
        </w:tc>
        <w:tc>
          <w:tcPr>
            <w:tcW w:w="81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金属电镀层</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抗盐雾</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13668-2015</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表3序号2</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w:t>
            </w:r>
          </w:p>
        </w:tc>
        <w:tc>
          <w:tcPr>
            <w:tcW w:w="18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其他要求</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13668-2015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5.7</w:t>
            </w:r>
          </w:p>
        </w:tc>
        <w:tc>
          <w:tcPr>
            <w:tcW w:w="9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7</w:t>
            </w:r>
          </w:p>
        </w:tc>
        <w:tc>
          <w:tcPr>
            <w:tcW w:w="8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力学性能</w:t>
            </w:r>
          </w:p>
        </w:tc>
        <w:tc>
          <w:tcPr>
            <w:tcW w:w="10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强度a</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13668-2015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5.8.1</w:t>
            </w:r>
          </w:p>
        </w:tc>
        <w:tc>
          <w:tcPr>
            <w:tcW w:w="9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8</w:t>
            </w:r>
          </w:p>
        </w:tc>
        <w:tc>
          <w:tcPr>
            <w:tcW w:w="8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10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稳定性</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GB/T 13668-2015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5.8.2</w:t>
            </w:r>
          </w:p>
        </w:tc>
        <w:tc>
          <w:tcPr>
            <w:tcW w:w="9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8920"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a具体项目包括：搁板支承件强度试验、顶板和底板静载荷试验、结构和底架强度试验、跌落试验、拉门垂直加载、拉门水平加载、拉门猛关、移门和侧向启闭卷门猛关或猛开、翻门下铰链强度、推拉构件强度、推拉构件猛关或猛开、推拉构件结构强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2.力学性能检验项目按产品和实际适用情况进行选取</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Cs/>
          <w:sz w:val="32"/>
          <w:szCs w:val="32"/>
        </w:rPr>
        <w:t>（二）</w:t>
      </w:r>
      <w:r>
        <w:rPr>
          <w:rFonts w:hint="eastAsia" w:ascii="楷体_GB2312" w:hAnsi="楷体_GB2312" w:eastAsia="楷体_GB2312" w:cs="楷体_GB2312"/>
          <w:sz w:val="32"/>
          <w:szCs w:val="32"/>
        </w:rPr>
        <w:t>办公家具（办公椅）</w:t>
      </w:r>
    </w:p>
    <w:tbl>
      <w:tblPr>
        <w:tblStyle w:val="4"/>
        <w:tblW w:w="8800" w:type="dxa"/>
        <w:jc w:val="center"/>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908"/>
        <w:gridCol w:w="1080"/>
        <w:gridCol w:w="1754"/>
        <w:gridCol w:w="913"/>
        <w:gridCol w:w="814"/>
        <w:gridCol w:w="958"/>
        <w:gridCol w:w="765"/>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序号</w:t>
            </w:r>
          </w:p>
        </w:tc>
        <w:tc>
          <w:tcPr>
            <w:tcW w:w="1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检验项目</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检验方法</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强制性</w:t>
            </w: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非强</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制性</w:t>
            </w:r>
          </w:p>
        </w:tc>
        <w:tc>
          <w:tcPr>
            <w:tcW w:w="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重要项</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较重</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要项</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p>
        </w:tc>
        <w:tc>
          <w:tcPr>
            <w:tcW w:w="90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软质聚氨酯泡沫塑料</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密度</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QB/T 2280-2016 </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6.5.1.1</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p>
        </w:tc>
        <w:tc>
          <w:tcPr>
            <w:tcW w:w="90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回弹性</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QB/T 2280-2016 </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6.5.1.2</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p>
        </w:tc>
        <w:tc>
          <w:tcPr>
            <w:tcW w:w="90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75%压缩永久变形</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QB/T 2280-2016 </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6.5.1.3</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p>
        </w:tc>
        <w:tc>
          <w:tcPr>
            <w:tcW w:w="908"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纺织面料</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干摩擦色牢度</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QB/T 2280-2016 </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6.5.2</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w:t>
            </w:r>
          </w:p>
        </w:tc>
        <w:tc>
          <w:tcPr>
            <w:tcW w:w="908"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金属件涂层</w:t>
            </w:r>
          </w:p>
        </w:tc>
        <w:tc>
          <w:tcPr>
            <w:tcW w:w="108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耐盐雾</w:t>
            </w:r>
          </w:p>
        </w:tc>
        <w:tc>
          <w:tcPr>
            <w:tcW w:w="175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QB/T 2280-2016 </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6.5.3.1</w:t>
            </w:r>
          </w:p>
        </w:tc>
        <w:tc>
          <w:tcPr>
            <w:tcW w:w="913"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7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w:t>
            </w:r>
          </w:p>
        </w:tc>
        <w:tc>
          <w:tcPr>
            <w:tcW w:w="908"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108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附着力</w:t>
            </w:r>
          </w:p>
        </w:tc>
        <w:tc>
          <w:tcPr>
            <w:tcW w:w="175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QB/T 2280-2016 </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6.5.3.2</w:t>
            </w:r>
          </w:p>
        </w:tc>
        <w:tc>
          <w:tcPr>
            <w:tcW w:w="913"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7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7</w:t>
            </w:r>
          </w:p>
        </w:tc>
        <w:tc>
          <w:tcPr>
            <w:tcW w:w="90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电镀层</w:t>
            </w:r>
          </w:p>
        </w:tc>
        <w:tc>
          <w:tcPr>
            <w:tcW w:w="108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耐盐雾</w:t>
            </w:r>
          </w:p>
        </w:tc>
        <w:tc>
          <w:tcPr>
            <w:tcW w:w="175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QB/T 2280-2016 </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6.5.4</w:t>
            </w:r>
          </w:p>
        </w:tc>
        <w:tc>
          <w:tcPr>
            <w:tcW w:w="913"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7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8</w:t>
            </w:r>
          </w:p>
        </w:tc>
        <w:tc>
          <w:tcPr>
            <w:tcW w:w="1988" w:type="dxa"/>
            <w:gridSpan w:val="2"/>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力学性能a</w:t>
            </w:r>
          </w:p>
        </w:tc>
        <w:tc>
          <w:tcPr>
            <w:tcW w:w="175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QB/T 2280-2016</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6.6</w:t>
            </w:r>
          </w:p>
        </w:tc>
        <w:tc>
          <w:tcPr>
            <w:tcW w:w="913"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7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9</w:t>
            </w:r>
          </w:p>
        </w:tc>
        <w:tc>
          <w:tcPr>
            <w:tcW w:w="1988" w:type="dxa"/>
            <w:gridSpan w:val="2"/>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阻燃性</w:t>
            </w:r>
          </w:p>
        </w:tc>
        <w:tc>
          <w:tcPr>
            <w:tcW w:w="175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QB/T 2280-2016 </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6.7</w:t>
            </w:r>
          </w:p>
        </w:tc>
        <w:tc>
          <w:tcPr>
            <w:tcW w:w="913"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8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10</w:t>
            </w:r>
          </w:p>
        </w:tc>
        <w:tc>
          <w:tcPr>
            <w:tcW w:w="1988" w:type="dxa"/>
            <w:gridSpan w:val="2"/>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甲醛释放量</w:t>
            </w:r>
          </w:p>
        </w:tc>
        <w:tc>
          <w:tcPr>
            <w:tcW w:w="175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QB/T 2280-2016 </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6.8</w:t>
            </w:r>
          </w:p>
        </w:tc>
        <w:tc>
          <w:tcPr>
            <w:tcW w:w="913"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8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11</w:t>
            </w:r>
          </w:p>
        </w:tc>
        <w:tc>
          <w:tcPr>
            <w:tcW w:w="1988" w:type="dxa"/>
            <w:gridSpan w:val="2"/>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TVOC</w:t>
            </w:r>
          </w:p>
        </w:tc>
        <w:tc>
          <w:tcPr>
            <w:tcW w:w="175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QB/T 2280-2016 </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6.9</w:t>
            </w:r>
          </w:p>
        </w:tc>
        <w:tc>
          <w:tcPr>
            <w:tcW w:w="913"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8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12</w:t>
            </w:r>
          </w:p>
        </w:tc>
        <w:tc>
          <w:tcPr>
            <w:tcW w:w="90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安全性</w:t>
            </w:r>
          </w:p>
        </w:tc>
        <w:tc>
          <w:tcPr>
            <w:tcW w:w="108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基本安全</w:t>
            </w:r>
          </w:p>
        </w:tc>
        <w:tc>
          <w:tcPr>
            <w:tcW w:w="175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QB/T 2280-2016 </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6.10.1</w:t>
            </w:r>
          </w:p>
        </w:tc>
        <w:tc>
          <w:tcPr>
            <w:tcW w:w="913"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4"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76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88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800" w:type="dxa"/>
            <w:gridSpan w:val="9"/>
            <w:noWrap w:val="0"/>
            <w:vAlign w:val="center"/>
          </w:tcPr>
          <w:p>
            <w:pPr>
              <w:keepNext w:val="0"/>
              <w:keepLines w:val="0"/>
              <w:pageBreakBefore w:val="0"/>
              <w:kinsoku/>
              <w:wordWrap/>
              <w:overflowPunct/>
              <w:topLinePunct w:val="0"/>
              <w:autoSpaceDE/>
              <w:autoSpaceDN/>
              <w:bidi w:val="0"/>
              <w:spacing w:line="360" w:lineRule="exact"/>
              <w:jc w:val="lef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注：</w:t>
            </w:r>
          </w:p>
          <w:p>
            <w:pPr>
              <w:keepNext w:val="0"/>
              <w:keepLines w:val="0"/>
              <w:pageBreakBefore w:val="0"/>
              <w:kinsoku/>
              <w:wordWrap/>
              <w:overflowPunct/>
              <w:topLinePunct w:val="0"/>
              <w:autoSpaceDE/>
              <w:autoSpaceDN/>
              <w:bidi w:val="0"/>
              <w:spacing w:line="360" w:lineRule="exact"/>
              <w:jc w:val="lef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1.a包括项目：稳定性、座面冲击、座面、椅背静载荷、扶手垂直静载荷、扶手水平静载荷、底座静载荷、跌落试验</w:t>
            </w:r>
          </w:p>
          <w:p>
            <w:pPr>
              <w:keepNext w:val="0"/>
              <w:keepLines w:val="0"/>
              <w:pageBreakBefore w:val="0"/>
              <w:kinsoku/>
              <w:wordWrap/>
              <w:overflowPunct/>
              <w:topLinePunct w:val="0"/>
              <w:autoSpaceDE/>
              <w:autoSpaceDN/>
              <w:bidi w:val="0"/>
              <w:spacing w:line="360" w:lineRule="exact"/>
              <w:jc w:val="lef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2.确认项目阻燃性的产品类型：家庭用办公椅、公共场所用办公椅。无法确认按家庭用办公椅进行检测</w:t>
            </w:r>
          </w:p>
          <w:p>
            <w:pPr>
              <w:keepNext w:val="0"/>
              <w:keepLines w:val="0"/>
              <w:pageBreakBefore w:val="0"/>
              <w:kinsoku/>
              <w:wordWrap/>
              <w:overflowPunct/>
              <w:topLinePunct w:val="0"/>
              <w:autoSpaceDE/>
              <w:autoSpaceDN/>
              <w:bidi w:val="0"/>
              <w:spacing w:line="360" w:lineRule="exact"/>
              <w:jc w:val="lef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3.力学性能检验项目按产品和实际适用情况进行选取</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Cs/>
          <w:sz w:val="32"/>
          <w:szCs w:val="32"/>
        </w:rPr>
        <w:t>（三）办公家具 阅览桌、椅、凳</w:t>
      </w:r>
    </w:p>
    <w:tbl>
      <w:tblPr>
        <w:tblStyle w:val="4"/>
        <w:tblW w:w="8868" w:type="dxa"/>
        <w:jc w:val="center"/>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147"/>
        <w:gridCol w:w="1257"/>
        <w:gridCol w:w="1766"/>
        <w:gridCol w:w="885"/>
        <w:gridCol w:w="720"/>
        <w:gridCol w:w="960"/>
        <w:gridCol w:w="64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序号</w:t>
            </w:r>
          </w:p>
        </w:tc>
        <w:tc>
          <w:tcPr>
            <w:tcW w:w="24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检验项目</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检验方法</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强制性</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非强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制性</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重要项</w:t>
            </w: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较重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要项</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p>
        </w:tc>
        <w:tc>
          <w:tcPr>
            <w:tcW w:w="24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木工要求</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（序号30、31、33、35、37）</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5.2.2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p>
        </w:tc>
        <w:tc>
          <w:tcPr>
            <w:tcW w:w="11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木制件表面理化性能（软、硬质覆面）</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表面耐划痕</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5.5.1.1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表面耐磨</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5.5.1.2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表面耐干热</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5.5.1.3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w:t>
            </w:r>
          </w:p>
        </w:tc>
        <w:tc>
          <w:tcPr>
            <w:tcW w:w="114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表面耐污染</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5.5.1.4</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w:t>
            </w:r>
          </w:p>
        </w:tc>
        <w:tc>
          <w:tcPr>
            <w:tcW w:w="11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木制件表面理化性能（漆膜）</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附着力</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5.5.1.6</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7</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耐磨性</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5.5.1.8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8</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耐干热</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5.5.1.9</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9</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耐湿热</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5.5.1.10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10</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耐液性</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5.5.1.11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11</w:t>
            </w:r>
          </w:p>
        </w:tc>
        <w:tc>
          <w:tcPr>
            <w:tcW w:w="114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抗冲击</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5.5.1.12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12</w:t>
            </w:r>
          </w:p>
        </w:tc>
        <w:tc>
          <w:tcPr>
            <w:tcW w:w="24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金属件电镀层理化性能</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13</w:t>
            </w:r>
          </w:p>
        </w:tc>
        <w:tc>
          <w:tcPr>
            <w:tcW w:w="11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金属件涂层理化性能</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硬度</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5.5.3.2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14</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冲击强度</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5.5.3.3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15</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附着力</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5.5.3.4</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16</w:t>
            </w:r>
          </w:p>
        </w:tc>
        <w:tc>
          <w:tcPr>
            <w:tcW w:w="114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耐腐蚀</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5.5.3.5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17</w:t>
            </w:r>
          </w:p>
        </w:tc>
        <w:tc>
          <w:tcPr>
            <w:tcW w:w="11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软包件理化性能</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座面泡沫塑料回弹率（不包括慢回弹海绵）</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5.5.4.1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18</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75%压缩永久变形</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5.5.4.2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19</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座面皮革涂层粘着牢度</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5.5.4.3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20</w:t>
            </w:r>
          </w:p>
        </w:tc>
        <w:tc>
          <w:tcPr>
            <w:tcW w:w="114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面料耐干摩擦色牢度</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5.5.4.4</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21</w:t>
            </w:r>
          </w:p>
        </w:tc>
        <w:tc>
          <w:tcPr>
            <w:tcW w:w="11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力学性能-桌类强度</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桌面垂直静载荷试验</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22</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水平静载荷试验</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23</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桌面垂直冲击试验</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24</w:t>
            </w:r>
          </w:p>
        </w:tc>
        <w:tc>
          <w:tcPr>
            <w:tcW w:w="114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桌腿跌落</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试验</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25</w:t>
            </w:r>
          </w:p>
        </w:tc>
        <w:tc>
          <w:tcPr>
            <w:tcW w:w="11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力学性能-椅凳类强度</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座面和椅背静载荷试验</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26</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椅腿前向静载荷试验</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27</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椅腿侧向静载荷试验</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28</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座面冲击试验</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29</w:t>
            </w:r>
          </w:p>
        </w:tc>
        <w:tc>
          <w:tcPr>
            <w:tcW w:w="114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跌落试验</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30</w:t>
            </w:r>
          </w:p>
        </w:tc>
        <w:tc>
          <w:tcPr>
            <w:tcW w:w="24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力学性能-桌类稳定性</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5.6.2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31</w:t>
            </w:r>
          </w:p>
        </w:tc>
        <w:tc>
          <w:tcPr>
            <w:tcW w:w="24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力学性能-椅凳类稳定性</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14531-2017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5.6.2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32</w:t>
            </w:r>
          </w:p>
        </w:tc>
        <w:tc>
          <w:tcPr>
            <w:tcW w:w="11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产品中有害物质限量</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产品挥发性有机物</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 18584</w:t>
            </w:r>
            <w:r>
              <w:rPr>
                <w:rFonts w:hint="default" w:ascii="Times New Roman" w:hAnsi="Times New Roman" w:eastAsia="宋体" w:cs="Times New Roman"/>
                <w:b w:val="0"/>
                <w:bCs w:val="0"/>
                <w:sz w:val="21"/>
                <w:szCs w:val="21"/>
                <w:lang w:val="fr-FR"/>
              </w:rPr>
              <w:t>-200</w:t>
            </w:r>
            <w:r>
              <w:rPr>
                <w:rFonts w:hint="default" w:ascii="Times New Roman" w:hAnsi="Times New Roman" w:eastAsia="宋体" w:cs="Times New Roman"/>
                <w:b w:val="0"/>
                <w:bCs w:val="0"/>
                <w:sz w:val="21"/>
                <w:szCs w:val="21"/>
              </w:rPr>
              <w:t>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33</w:t>
            </w:r>
          </w:p>
        </w:tc>
        <w:tc>
          <w:tcPr>
            <w:tcW w:w="11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可迁移元素限量</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 18584</w:t>
            </w:r>
            <w:r>
              <w:rPr>
                <w:rFonts w:hint="default" w:ascii="Times New Roman" w:hAnsi="Times New Roman" w:eastAsia="宋体" w:cs="Times New Roman"/>
                <w:b w:val="0"/>
                <w:bCs w:val="0"/>
                <w:sz w:val="21"/>
                <w:szCs w:val="21"/>
                <w:lang w:val="fr-FR"/>
              </w:rPr>
              <w:t>-200</w:t>
            </w:r>
            <w:r>
              <w:rPr>
                <w:rFonts w:hint="default" w:ascii="Times New Roman" w:hAnsi="Times New Roman" w:eastAsia="宋体" w:cs="Times New Roman"/>
                <w:b w:val="0"/>
                <w:bCs w:val="0"/>
                <w:sz w:val="21"/>
                <w:szCs w:val="21"/>
              </w:rPr>
              <w:t>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Cs/>
          <w:sz w:val="32"/>
          <w:szCs w:val="32"/>
        </w:rPr>
        <w:t xml:space="preserve">    （四）</w:t>
      </w:r>
      <w:r>
        <w:rPr>
          <w:rFonts w:hint="eastAsia" w:ascii="楷体_GB2312" w:hAnsi="楷体_GB2312" w:eastAsia="楷体_GB2312" w:cs="楷体_GB2312"/>
          <w:sz w:val="32"/>
          <w:szCs w:val="32"/>
        </w:rPr>
        <w:t>办公家具 木制柜、架</w:t>
      </w:r>
    </w:p>
    <w:tbl>
      <w:tblPr>
        <w:tblStyle w:val="4"/>
        <w:tblW w:w="8803"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506"/>
        <w:gridCol w:w="484"/>
        <w:gridCol w:w="1365"/>
        <w:gridCol w:w="1800"/>
        <w:gridCol w:w="885"/>
        <w:gridCol w:w="705"/>
        <w:gridCol w:w="729"/>
        <w:gridCol w:w="81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235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检验方法</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w:t>
            </w:r>
          </w:p>
          <w:p>
            <w:pPr>
              <w:keepNext w:val="0"/>
              <w:keepLines w:val="0"/>
              <w:pageBreakBefore w:val="0"/>
              <w:kinsoku/>
              <w:wordWrap/>
              <w:overflowPunct/>
              <w:topLinePunct w:val="0"/>
              <w:autoSpaceDE/>
              <w:autoSpaceDN/>
              <w:bidi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制性</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w:t>
            </w:r>
          </w:p>
          <w:p>
            <w:pPr>
              <w:keepNext w:val="0"/>
              <w:keepLines w:val="0"/>
              <w:pageBreakBefore w:val="0"/>
              <w:kinsoku/>
              <w:wordWrap/>
              <w:overflowPunct/>
              <w:topLinePunct w:val="0"/>
              <w:autoSpaceDE/>
              <w:autoSpaceDN/>
              <w:bidi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要项</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p>
        </w:tc>
        <w:tc>
          <w:tcPr>
            <w:tcW w:w="235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人造板件外观</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（序号15、17、18、19）</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14532-2017</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6.2.2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p>
        </w:tc>
        <w:tc>
          <w:tcPr>
            <w:tcW w:w="99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理化性能（饰面层）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耐划痕</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14532-2017 6.5.1.1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p>
        </w:tc>
        <w:tc>
          <w:tcPr>
            <w:tcW w:w="990"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耐污染性能</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14532-2017 6.5.1.2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p>
        </w:tc>
        <w:tc>
          <w:tcPr>
            <w:tcW w:w="990"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表面耐磨性</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GB/T 14532-2017 6.5.1.3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w:t>
            </w:r>
          </w:p>
        </w:tc>
        <w:tc>
          <w:tcPr>
            <w:tcW w:w="990"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抗冲击</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 6.5.1.4</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6</w:t>
            </w:r>
          </w:p>
        </w:tc>
        <w:tc>
          <w:tcPr>
            <w:tcW w:w="99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理化性能（表面涂层）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耐液性</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 6.5.2.1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7</w:t>
            </w:r>
          </w:p>
        </w:tc>
        <w:tc>
          <w:tcPr>
            <w:tcW w:w="990"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附着力</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 6.5.2.2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8</w:t>
            </w:r>
          </w:p>
        </w:tc>
        <w:tc>
          <w:tcPr>
            <w:tcW w:w="990"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耐磨性</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 6.5.2.3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9</w:t>
            </w:r>
          </w:p>
        </w:tc>
        <w:tc>
          <w:tcPr>
            <w:tcW w:w="990"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抗冲击</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 6.5.2.4</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10</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理化性能(金属件电镀层)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耐盐雾</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 6.5.4</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11</w:t>
            </w:r>
          </w:p>
        </w:tc>
        <w:tc>
          <w:tcPr>
            <w:tcW w:w="99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力学性能-柜（架）类强度</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结构和底架强度试验</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 6.6.1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12</w:t>
            </w:r>
          </w:p>
        </w:tc>
        <w:tc>
          <w:tcPr>
            <w:tcW w:w="990"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拉门垂直加载试验</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 6.6.1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13</w:t>
            </w:r>
          </w:p>
        </w:tc>
        <w:tc>
          <w:tcPr>
            <w:tcW w:w="990"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拉门水平加载试验</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 6.6.1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14</w:t>
            </w:r>
          </w:p>
        </w:tc>
        <w:tc>
          <w:tcPr>
            <w:tcW w:w="990"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推拉构件结构强度试验</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 6.6.1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15</w:t>
            </w:r>
          </w:p>
        </w:tc>
        <w:tc>
          <w:tcPr>
            <w:tcW w:w="990"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推拉构件强度试验</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14532-2017中6.6.1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16</w:t>
            </w:r>
          </w:p>
        </w:tc>
        <w:tc>
          <w:tcPr>
            <w:tcW w:w="235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力学性能-柜类稳定性</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 6.6.2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17</w:t>
            </w:r>
          </w:p>
        </w:tc>
        <w:tc>
          <w:tcPr>
            <w:tcW w:w="235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力学性能-架类稳定性</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 6.6.3</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18</w:t>
            </w:r>
          </w:p>
        </w:tc>
        <w:tc>
          <w:tcPr>
            <w:tcW w:w="50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安全性</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结构安全性</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14532-2017 6.7.1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19</w:t>
            </w:r>
          </w:p>
        </w:tc>
        <w:tc>
          <w:tcPr>
            <w:tcW w:w="50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48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有害物质限量</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产品挥发性</w:t>
            </w:r>
          </w:p>
          <w:p>
            <w:pPr>
              <w:keepNext w:val="0"/>
              <w:keepLines w:val="0"/>
              <w:pageBreakBefore w:val="0"/>
              <w:widowControl/>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有机物</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18584</w:t>
            </w:r>
            <w:r>
              <w:rPr>
                <w:rFonts w:hint="default" w:ascii="Times New Roman" w:hAnsi="Times New Roman" w:eastAsia="宋体" w:cs="Times New Roman"/>
                <w:sz w:val="21"/>
                <w:szCs w:val="21"/>
                <w:lang w:val="fr-FR"/>
              </w:rPr>
              <w:t>-200</w:t>
            </w:r>
            <w:r>
              <w:rPr>
                <w:rFonts w:hint="default" w:ascii="Times New Roman" w:hAnsi="Times New Roman" w:eastAsia="宋体" w:cs="Times New Roman"/>
                <w:sz w:val="21"/>
                <w:szCs w:val="21"/>
              </w:rPr>
              <w:t>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20</w:t>
            </w:r>
          </w:p>
        </w:tc>
        <w:tc>
          <w:tcPr>
            <w:tcW w:w="50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4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可迁移元素</w:t>
            </w:r>
          </w:p>
          <w:p>
            <w:pPr>
              <w:keepNext w:val="0"/>
              <w:keepLines w:val="0"/>
              <w:pageBreakBefore w:val="0"/>
              <w:widowControl/>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限量</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6" w:lef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18584</w:t>
            </w:r>
            <w:r>
              <w:rPr>
                <w:rFonts w:hint="default" w:ascii="Times New Roman" w:hAnsi="Times New Roman" w:eastAsia="宋体" w:cs="Times New Roman"/>
                <w:sz w:val="21"/>
                <w:szCs w:val="21"/>
                <w:lang w:val="fr-FR"/>
              </w:rPr>
              <w:t>-200</w:t>
            </w:r>
            <w:r>
              <w:rPr>
                <w:rFonts w:hint="default" w:ascii="Times New Roman" w:hAnsi="Times New Roman" w:eastAsia="宋体" w:cs="Times New Roman"/>
                <w:sz w:val="21"/>
                <w:szCs w:val="21"/>
              </w:rPr>
              <w:t>1</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注：1.执行企业标准、团体标准、地方标准的产品，检验项目参照上述内容执行。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 xml:space="preserve">        2.凡是注日期的文件，其随后所有的修改单（不包括勘误的内容）或修订版不适用于本细则。凡是不注日期的文件，其最新版本适用于本细则。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三、判定规则</w:t>
      </w:r>
    </w:p>
    <w:p>
      <w:pPr>
        <w:keepNext w:val="0"/>
        <w:keepLines w:val="0"/>
        <w:pageBreakBefore w:val="0"/>
        <w:widowControl/>
        <w:kinsoku/>
        <w:wordWrap/>
        <w:overflowPunct/>
        <w:topLinePunct w:val="0"/>
        <w:autoSpaceDN w:val="0"/>
        <w:bidi w:val="0"/>
        <w:spacing w:line="600" w:lineRule="exact"/>
        <w:ind w:firstLine="641"/>
        <w:jc w:val="left"/>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（一）依据标准</w:t>
      </w:r>
    </w:p>
    <w:p>
      <w:pPr>
        <w:keepNext w:val="0"/>
        <w:keepLines w:val="0"/>
        <w:pageBreakBefore w:val="0"/>
        <w:widowControl/>
        <w:kinsoku/>
        <w:wordWrap/>
        <w:overflowPunct/>
        <w:topLinePunct w:val="0"/>
        <w:autoSpaceDN w:val="0"/>
        <w:bidi w:val="0"/>
        <w:spacing w:line="600" w:lineRule="exact"/>
        <w:ind w:firstLine="641"/>
        <w:jc w:val="left"/>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1</w:t>
      </w:r>
      <w:r>
        <w:rPr>
          <w:rFonts w:hint="eastAsia" w:ascii="Times New Roman" w:hAnsi="Times New Roman" w:cs="Times New Roman"/>
          <w:kern w:val="0"/>
          <w:sz w:val="32"/>
          <w:szCs w:val="32"/>
          <w:lang w:eastAsia="zh-CN"/>
        </w:rPr>
        <w:t>．</w:t>
      </w:r>
      <w:r>
        <w:rPr>
          <w:rFonts w:hint="default" w:ascii="Times New Roman" w:hAnsi="Times New Roman" w:cs="Times New Roman"/>
          <w:kern w:val="0"/>
          <w:sz w:val="32"/>
          <w:szCs w:val="32"/>
        </w:rPr>
        <w:t>强制性标准。</w:t>
      </w:r>
    </w:p>
    <w:p>
      <w:pPr>
        <w:keepNext w:val="0"/>
        <w:keepLines w:val="0"/>
        <w:pageBreakBefore w:val="0"/>
        <w:widowControl/>
        <w:kinsoku/>
        <w:wordWrap/>
        <w:overflowPunct/>
        <w:topLinePunct w:val="0"/>
        <w:autoSpaceDN w:val="0"/>
        <w:bidi w:val="0"/>
        <w:spacing w:line="600" w:lineRule="exact"/>
        <w:ind w:firstLine="641"/>
        <w:jc w:val="left"/>
        <w:textAlignment w:val="auto"/>
        <w:rPr>
          <w:rFonts w:hint="default" w:ascii="Times New Roman" w:hAnsi="Times New Roman" w:cs="Times New Roman"/>
          <w:kern w:val="0"/>
          <w:sz w:val="32"/>
          <w:szCs w:val="32"/>
        </w:rPr>
      </w:pPr>
      <w:r>
        <w:rPr>
          <w:rFonts w:hint="default" w:ascii="Times New Roman" w:hAnsi="Times New Roman" w:cs="Times New Roman"/>
          <w:color w:val="000000"/>
          <w:sz w:val="32"/>
          <w:szCs w:val="32"/>
        </w:rPr>
        <w:t>GB</w:t>
      </w:r>
      <w:r>
        <w:rPr>
          <w:rFonts w:hint="default" w:ascii="Times New Roman" w:hAnsi="Times New Roman" w:cs="Times New Roman"/>
          <w:kern w:val="0"/>
          <w:sz w:val="32"/>
          <w:szCs w:val="32"/>
        </w:rPr>
        <w:t xml:space="preserve"> 18584-2001《室内装饰装修材料木家具中有害物质限量》</w:t>
      </w:r>
    </w:p>
    <w:p>
      <w:pPr>
        <w:keepNext w:val="0"/>
        <w:keepLines w:val="0"/>
        <w:pageBreakBefore w:val="0"/>
        <w:widowControl/>
        <w:kinsoku/>
        <w:wordWrap/>
        <w:overflowPunct/>
        <w:topLinePunct w:val="0"/>
        <w:autoSpaceDN w:val="0"/>
        <w:bidi w:val="0"/>
        <w:spacing w:line="600" w:lineRule="exact"/>
        <w:ind w:firstLine="641"/>
        <w:jc w:val="left"/>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2</w:t>
      </w:r>
      <w:r>
        <w:rPr>
          <w:rFonts w:hint="eastAsia" w:ascii="Times New Roman" w:hAnsi="Times New Roman" w:cs="Times New Roman"/>
          <w:kern w:val="0"/>
          <w:sz w:val="32"/>
          <w:szCs w:val="32"/>
          <w:lang w:eastAsia="zh-CN"/>
        </w:rPr>
        <w:t>．</w:t>
      </w:r>
      <w:r>
        <w:rPr>
          <w:rFonts w:hint="default" w:ascii="Times New Roman" w:hAnsi="Times New Roman" w:cs="Times New Roman"/>
          <w:kern w:val="0"/>
          <w:sz w:val="32"/>
          <w:szCs w:val="32"/>
        </w:rPr>
        <w:t>推荐性标准。</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GB/T 13668-2015《钢制书柜、资料柜通用技术条件》</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QB/T 2280-2016《办公家具 办公椅》</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GB/T 14531-2017《办公家具 阅览桌、椅、凳》</w:t>
      </w:r>
    </w:p>
    <w:p>
      <w:pPr>
        <w:keepNext w:val="0"/>
        <w:keepLines w:val="0"/>
        <w:pageBreakBefore w:val="0"/>
        <w:kinsoku/>
        <w:wordWrap/>
        <w:overflowPunct/>
        <w:topLinePunct w:val="0"/>
        <w:bidi w:val="0"/>
        <w:spacing w:line="600" w:lineRule="exact"/>
        <w:ind w:firstLine="640" w:firstLineChars="200"/>
        <w:textAlignment w:val="auto"/>
        <w:outlineLvl w:val="0"/>
        <w:rPr>
          <w:rFonts w:hint="default" w:ascii="Times New Roman" w:hAnsi="Times New Roman" w:cs="Times New Roman"/>
          <w:bCs/>
          <w:sz w:val="32"/>
          <w:szCs w:val="32"/>
        </w:rPr>
      </w:pPr>
      <w:r>
        <w:rPr>
          <w:rFonts w:hint="default" w:ascii="Times New Roman" w:hAnsi="Times New Roman" w:cs="Times New Roman"/>
          <w:bCs/>
          <w:sz w:val="32"/>
          <w:szCs w:val="32"/>
        </w:rPr>
        <w:t>GB/T 14532-2017《办公家具 木制柜、架》</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（二）判定原则</w:t>
      </w:r>
    </w:p>
    <w:p>
      <w:pPr>
        <w:keepNext w:val="0"/>
        <w:keepLines w:val="0"/>
        <w:pageBreakBefore w:val="0"/>
        <w:kinsoku/>
        <w:wordWrap/>
        <w:overflowPunct/>
        <w:topLinePunct w:val="0"/>
        <w:bidi w:val="0"/>
        <w:snapToGrid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当被检样品明示的质量要求劣于或不包含监督抽查实施细则中依据的强制性标准要求时，应按照强制性标准要求判定；</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当被检样品明示的质量要求不包含监督抽查实施细则中依据的推荐性标准要求时，该指标不参与判定，但应在检验报告中作出说明；</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当被检样品未能提供有效的企业标准时，按相关国家或行业标准进行判定；</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kinsoku/>
        <w:wordWrap/>
        <w:overflowPunct/>
        <w:topLinePunct w:val="0"/>
        <w:autoSpaceDE w:val="0"/>
        <w:autoSpaceDN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按照产品质量相关法律法规的规定判定。</w:t>
      </w:r>
    </w:p>
    <w:p>
      <w:pPr>
        <w:keepNext w:val="0"/>
        <w:keepLines w:val="0"/>
        <w:pageBreakBefore w:val="0"/>
        <w:kinsoku/>
        <w:wordWrap/>
        <w:overflowPunct/>
        <w:topLinePunct w:val="0"/>
        <w:bidi w:val="0"/>
        <w:spacing w:line="60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检验中发现因样品失效或者其他原因致使检验无法进行的，检验人员应如实记录，并提供相关证明材料，报送组织监督抽查的市场监管部门。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001D6"/>
    <w:rsid w:val="3D8001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customStyle="1" w:styleId="5">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2023-06-06T07:52:00Z</dcterms:created>
  <dc:creator>胡翌婧&amp;userId=089c2245-3540-4cda-8005-8eb0d4dc8848</dc:creator>
  <cp:lastModifiedBy>胡翌婧&amp;userId=089c2245-3540-4cda-8005-8eb0d4dc8848</cp:lastModifiedBy>
  <dcterms:modified xsi:type="dcterms:W3CDTF">2023-06-06T07:53:29Z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