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0" w:firstLineChars="200"/>
        <w:jc w:val="center"/>
        <w:rPr>
          <w:rFonts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1998年度全省殡葬管理目标考评表</w:t>
      </w:r>
    </w:p>
    <w:tbl>
      <w:tblPr>
        <w:tblStyle w:val="5"/>
        <w:tblpPr w:leftFromText="180" w:rightFromText="180" w:vertAnchor="text" w:horzAnchor="page" w:tblpX="569" w:tblpY="820"/>
        <w:tblOverlap w:val="never"/>
        <w:tblW w:w="1057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562"/>
        <w:gridCol w:w="700"/>
        <w:gridCol w:w="590"/>
        <w:gridCol w:w="915"/>
        <w:gridCol w:w="935"/>
        <w:gridCol w:w="935"/>
        <w:gridCol w:w="935"/>
        <w:gridCol w:w="1129"/>
        <w:gridCol w:w="1047"/>
        <w:gridCol w:w="842"/>
        <w:gridCol w:w="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ind w:firstLine="240" w:firstLineChars="100"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火化率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建设殡仪馆得分</w:t>
            </w:r>
          </w:p>
        </w:tc>
        <w:tc>
          <w:tcPr>
            <w:tcW w:w="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成立管理机构得分</w:t>
            </w:r>
          </w:p>
        </w:tc>
        <w:tc>
          <w:tcPr>
            <w:tcW w:w="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健全管理制度得分</w:t>
            </w:r>
          </w:p>
        </w:tc>
        <w:tc>
          <w:tcPr>
            <w:tcW w:w="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清理乱葬坟墓得分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革除丧葬陋习得分</w:t>
            </w:r>
          </w:p>
        </w:tc>
        <w:tc>
          <w:tcPr>
            <w:tcW w:w="10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公墓丧葬用品管理得分</w:t>
            </w:r>
          </w:p>
        </w:tc>
        <w:tc>
          <w:tcPr>
            <w:tcW w:w="8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Style w:val="9"/>
                <w:rFonts w:ascii="微软雅黑" w:hAnsi="微软雅黑" w:eastAsia="微软雅黑" w:cs="微软雅黑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总得</w:t>
            </w:r>
          </w:p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分数</w:t>
            </w:r>
          </w:p>
        </w:tc>
        <w:tc>
          <w:tcPr>
            <w:tcW w:w="9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目标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实际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得分</w:t>
            </w: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广州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深圳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珠海</w:t>
            </w:r>
          </w:p>
        </w:tc>
        <w:tc>
          <w:tcPr>
            <w:tcW w:w="5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汕头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微软雅黑" w:hAnsi="微软雅黑" w:eastAsia="微软雅黑" w:cs="微软雅黑"/>
              </w:rPr>
              <w:t>,5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韶关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河源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梅州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惠州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汕尾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东莞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中山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江门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佛山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阳江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湛江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8.1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10"/>
                <w:rFonts w:hint="eastAsia" w:ascii="微软雅黑" w:hAnsi="微软雅黑" w:eastAsia="微软雅黑" w:cs="微软雅黑"/>
              </w:rPr>
              <w:t>0-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茂名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肇庆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清远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潮州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揭阳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云浮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i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</w:rPr>
              <w:t>全省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00" w:lineRule="exact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640" w:firstLineChars="200"/>
        <w:jc w:val="left"/>
        <w:rPr>
          <w:rFonts w:ascii="微软雅黑" w:hAnsi="微软雅黑" w:eastAsia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456E88"/>
    <w:rsid w:val="0032657E"/>
    <w:rsid w:val="00456E88"/>
    <w:rsid w:val="0076410D"/>
    <w:rsid w:val="007873F0"/>
    <w:rsid w:val="007C5397"/>
    <w:rsid w:val="00960D31"/>
    <w:rsid w:val="00B13174"/>
    <w:rsid w:val="00F60749"/>
    <w:rsid w:val="024C2863"/>
    <w:rsid w:val="4165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font21"/>
    <w:basedOn w:val="6"/>
    <w:uiPriority w:val="0"/>
    <w:rPr>
      <w:rFonts w:hint="default" w:ascii="MingLiU" w:hAnsi="MingLiU" w:eastAsia="MingLiU" w:cs="MingLiU"/>
      <w:color w:val="000000"/>
      <w:sz w:val="24"/>
      <w:szCs w:val="24"/>
      <w:u w:val="none"/>
    </w:rPr>
  </w:style>
  <w:style w:type="character" w:customStyle="1" w:styleId="10">
    <w:name w:val="font1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日期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841</Words>
  <Characters>987</Characters>
  <Lines>9</Lines>
  <Paragraphs>2</Paragraphs>
  <TotalTime>3</TotalTime>
  <ScaleCrop>false</ScaleCrop>
  <LinksUpToDate>false</LinksUpToDate>
  <CharactersWithSpaces>993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2020-07-28T10:54:00Z</dcterms:created>
  <dc:creator>WW</dc:creator>
  <cp:lastModifiedBy>风</cp:lastModifiedBy>
  <dcterms:modified xsi:type="dcterms:W3CDTF">2023-03-13T03:06:57Z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7B8D90FB575E45C3BAADE2A7F42F44E4</vt:lpwstr>
  </property>
</Properties>
</file>