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textAlignment w:val="center"/>
        <w:rPr>
          <w:rFonts w:hint="default" w:ascii="Times New Roman" w:hAnsi="Times New Roman" w:eastAsia="黑体" w:cs="黑体"/>
          <w:b w:val="0"/>
          <w:bCs w:val="0"/>
          <w:sz w:val="32"/>
          <w:szCs w:val="32"/>
          <w:lang w:val="en-US" w:eastAsia="zh-CN"/>
        </w:rPr>
      </w:pPr>
      <w:r>
        <w:rPr>
          <w:rFonts w:hint="eastAsia" w:ascii="Times New Roman" w:hAnsi="Times New Roman" w:eastAsia="黑体" w:cs="黑体"/>
          <w:b w:val="0"/>
          <w:bCs w:val="0"/>
          <w:sz w:val="32"/>
          <w:szCs w:val="32"/>
          <w:lang w:eastAsia="zh-CN"/>
        </w:rPr>
        <w:t>附件</w:t>
      </w:r>
      <w:bookmarkStart w:id="1" w:name="_GoBack"/>
      <w:r>
        <w:rPr>
          <w:rFonts w:hint="eastAsia" w:ascii="Times New Roman" w:hAnsi="Times New Roman" w:eastAsia="黑体" w:cs="黑体"/>
          <w:b w:val="0"/>
          <w:bCs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40" w:lineRule="exact"/>
        <w:jc w:val="both"/>
        <w:textAlignment w:val="center"/>
        <w:rPr>
          <w:rFonts w:hint="eastAsia" w:ascii="Times New Roman" w:hAnsi="Times New Roman"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center"/>
        <w:rPr>
          <w:rFonts w:hint="eastAsia" w:ascii="Times New Roman" w:hAnsi="Times New Roman" w:eastAsia="方正小标宋简体" w:cs="方正小标宋简体"/>
          <w:b w:val="0"/>
          <w:bCs w:val="0"/>
          <w:sz w:val="44"/>
          <w:szCs w:val="44"/>
        </w:rPr>
      </w:pPr>
      <w:r>
        <w:rPr>
          <w:rFonts w:hint="eastAsia" w:ascii="Times New Roman" w:hAnsi="Times New Roman" w:eastAsia="方正小标宋简体" w:cs="方正小标宋简体"/>
          <w:b w:val="0"/>
          <w:bCs w:val="0"/>
          <w:sz w:val="44"/>
          <w:szCs w:val="44"/>
        </w:rPr>
        <w:t>2022年广东省一次性塑料餐饮具和食品用</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center"/>
        <w:rPr>
          <w:rFonts w:hint="eastAsia" w:ascii="Times New Roman" w:hAnsi="Times New Roman" w:eastAsia="方正小标宋简体" w:cs="方正小标宋简体"/>
          <w:b w:val="0"/>
          <w:bCs w:val="0"/>
          <w:sz w:val="44"/>
          <w:szCs w:val="44"/>
        </w:rPr>
      </w:pPr>
      <w:r>
        <w:rPr>
          <w:rFonts w:hint="eastAsia" w:ascii="Times New Roman" w:hAnsi="Times New Roman" w:eastAsia="方正小标宋简体" w:cs="方正小标宋简体"/>
          <w:b w:val="0"/>
          <w:bCs w:val="0"/>
          <w:sz w:val="44"/>
          <w:szCs w:val="44"/>
        </w:rPr>
        <w:t>塑料膜（袋）生产领域质量安全</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center"/>
        <w:rPr>
          <w:rFonts w:hint="eastAsia" w:ascii="Times New Roman" w:hAnsi="Times New Roman" w:eastAsia="方正小标宋简体" w:cs="方正小标宋简体"/>
          <w:b/>
          <w:bCs/>
          <w:sz w:val="44"/>
          <w:szCs w:val="44"/>
        </w:rPr>
      </w:pPr>
      <w:r>
        <w:rPr>
          <w:rFonts w:hint="eastAsia" w:ascii="Times New Roman" w:hAnsi="Times New Roman" w:eastAsia="方正小标宋简体" w:cs="方正小标宋简体"/>
          <w:b w:val="0"/>
          <w:bCs w:val="0"/>
          <w:sz w:val="44"/>
          <w:szCs w:val="44"/>
        </w:rPr>
        <w:t>监督抽查实施细则</w:t>
      </w:r>
    </w:p>
    <w:bookmarkEnd w:id="1"/>
    <w:p>
      <w:pPr>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jc w:val="both"/>
        <w:textAlignment w:val="auto"/>
        <w:rPr>
          <w:rFonts w:hint="eastAsia" w:ascii="Times New Roman" w:hAnsi="Times New Roman" w:eastAsia="黑体"/>
          <w:bCs/>
          <w:kern w:val="2"/>
          <w:sz w:val="32"/>
          <w:szCs w:val="32"/>
        </w:rPr>
      </w:pPr>
    </w:p>
    <w:p>
      <w:pPr>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jc w:val="both"/>
        <w:textAlignment w:val="auto"/>
        <w:rPr>
          <w:rFonts w:hint="eastAsia" w:ascii="Times New Roman" w:hAnsi="Times New Roman" w:eastAsia="黑体"/>
          <w:bCs/>
          <w:kern w:val="2"/>
          <w:sz w:val="32"/>
          <w:szCs w:val="32"/>
        </w:rPr>
      </w:pPr>
      <w:r>
        <w:rPr>
          <w:rFonts w:hint="eastAsia" w:ascii="Times New Roman" w:hAnsi="Times New Roman" w:eastAsia="黑体"/>
          <w:bCs/>
          <w:kern w:val="2"/>
          <w:sz w:val="32"/>
          <w:szCs w:val="32"/>
        </w:rPr>
        <w:t>1 适用范围</w:t>
      </w:r>
    </w:p>
    <w:p>
      <w:pPr>
        <w:keepNext w:val="0"/>
        <w:keepLines w:val="0"/>
        <w:pageBreakBefore w:val="0"/>
        <w:widowControl w:val="0"/>
        <w:kinsoku/>
        <w:wordWrap/>
        <w:overflowPunct/>
        <w:topLinePunct w:val="0"/>
        <w:bidi w:val="0"/>
        <w:snapToGrid/>
        <w:spacing w:line="600" w:lineRule="exact"/>
        <w:ind w:right="0" w:firstLine="640" w:firstLineChars="200"/>
        <w:jc w:val="both"/>
        <w:textAlignment w:val="auto"/>
        <w:rPr>
          <w:rFonts w:hint="eastAsia" w:ascii="Times New Roman" w:hAnsi="Times New Roman" w:eastAsia="仿宋_GB2312" w:cs="仿宋_GB2312"/>
          <w:kern w:val="2"/>
          <w:sz w:val="32"/>
          <w:szCs w:val="32"/>
        </w:rPr>
      </w:pPr>
      <w:r>
        <w:rPr>
          <w:rFonts w:hint="eastAsia" w:ascii="Times New Roman" w:hAnsi="Times New Roman" w:eastAsia="仿宋_GB2312" w:cs="仿宋_GB2312"/>
          <w:sz w:val="32"/>
          <w:szCs w:val="32"/>
        </w:rPr>
        <w:t>本细则适用于广东省生产领域食品相关产品监督抽查，监督抽查产品范围为广东省内生产领域的一次性塑料餐饮具、食品用塑料膜（袋）</w:t>
      </w:r>
      <w:r>
        <w:rPr>
          <w:rFonts w:hint="eastAsia" w:ascii="Times New Roman" w:hAnsi="Times New Roman" w:eastAsia="仿宋_GB2312" w:cs="仿宋_GB2312"/>
          <w:bCs/>
          <w:sz w:val="32"/>
          <w:szCs w:val="32"/>
        </w:rPr>
        <w:t>等</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jc w:val="both"/>
        <w:textAlignment w:val="auto"/>
        <w:rPr>
          <w:rFonts w:hint="eastAsia" w:ascii="Times New Roman" w:hAnsi="Times New Roman" w:cs="宋体"/>
          <w:bCs/>
          <w:sz w:val="32"/>
          <w:szCs w:val="32"/>
        </w:rPr>
      </w:pPr>
      <w:r>
        <w:rPr>
          <w:rFonts w:hint="eastAsia" w:ascii="Times New Roman" w:hAnsi="Times New Roman" w:eastAsia="黑体"/>
          <w:bCs/>
          <w:kern w:val="2"/>
          <w:sz w:val="32"/>
          <w:szCs w:val="32"/>
        </w:rPr>
        <w:t>2 检验依据</w:t>
      </w:r>
    </w:p>
    <w:p>
      <w:pPr>
        <w:keepNext w:val="0"/>
        <w:keepLines w:val="0"/>
        <w:pageBreakBefore w:val="0"/>
        <w:widowControl w:val="0"/>
        <w:kinsoku/>
        <w:wordWrap/>
        <w:overflowPunct/>
        <w:topLinePunct w:val="0"/>
        <w:bidi w:val="0"/>
        <w:snapToGrid/>
        <w:spacing w:line="600" w:lineRule="exact"/>
        <w:ind w:right="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GB 4806.6-2016《食品安全国家标准 食品接触用塑料树脂》</w:t>
      </w:r>
    </w:p>
    <w:p>
      <w:pPr>
        <w:keepNext w:val="0"/>
        <w:keepLines w:val="0"/>
        <w:pageBreakBefore w:val="0"/>
        <w:widowControl w:val="0"/>
        <w:kinsoku/>
        <w:wordWrap/>
        <w:overflowPunct/>
        <w:topLinePunct w:val="0"/>
        <w:bidi w:val="0"/>
        <w:snapToGrid/>
        <w:spacing w:line="600" w:lineRule="exact"/>
        <w:ind w:right="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GB 4806.7-2016《食品安全国家标准 食品接触用塑料材料及制品》</w:t>
      </w:r>
    </w:p>
    <w:p>
      <w:pPr>
        <w:keepNext w:val="0"/>
        <w:keepLines w:val="0"/>
        <w:pageBreakBefore w:val="0"/>
        <w:widowControl w:val="0"/>
        <w:kinsoku/>
        <w:wordWrap/>
        <w:overflowPunct/>
        <w:topLinePunct w:val="0"/>
        <w:bidi w:val="0"/>
        <w:snapToGrid/>
        <w:spacing w:line="600" w:lineRule="exact"/>
        <w:ind w:right="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GB 9683-1988《复合食品包装袋卫生标准》</w:t>
      </w:r>
    </w:p>
    <w:p>
      <w:pPr>
        <w:keepNext w:val="0"/>
        <w:keepLines w:val="0"/>
        <w:pageBreakBefore w:val="0"/>
        <w:widowControl w:val="0"/>
        <w:kinsoku/>
        <w:wordWrap/>
        <w:overflowPunct/>
        <w:topLinePunct w:val="0"/>
        <w:bidi w:val="0"/>
        <w:snapToGrid/>
        <w:spacing w:line="600" w:lineRule="exact"/>
        <w:ind w:right="0" w:firstLine="640" w:firstLineChars="200"/>
        <w:textAlignment w:val="auto"/>
        <w:rPr>
          <w:rFonts w:hint="eastAsia" w:ascii="Times New Roman" w:hAnsi="Times New Roman" w:eastAsia="仿宋_GB2312" w:cs="仿宋_GB2312"/>
          <w:sz w:val="32"/>
          <w:szCs w:val="32"/>
        </w:rPr>
      </w:pPr>
      <w:r>
        <w:rPr>
          <w:rFonts w:ascii="Times New Roman" w:hAnsi="Times New Roman" w:eastAsia="仿宋_GB2312" w:cs="仿宋_GB2312"/>
          <w:sz w:val="32"/>
          <w:szCs w:val="32"/>
        </w:rPr>
        <w:t>GB/T 18006.1-2009</w:t>
      </w:r>
      <w:r>
        <w:rPr>
          <w:rFonts w:hint="eastAsia" w:ascii="Times New Roman" w:hAnsi="Times New Roman" w:eastAsia="仿宋_GB2312" w:cs="仿宋_GB2312"/>
          <w:sz w:val="32"/>
          <w:szCs w:val="32"/>
        </w:rPr>
        <w:t>《塑料一次性餐饮具通用技术要求》</w:t>
      </w:r>
    </w:p>
    <w:p>
      <w:pPr>
        <w:keepNext w:val="0"/>
        <w:keepLines w:val="0"/>
        <w:pageBreakBefore w:val="0"/>
        <w:widowControl w:val="0"/>
        <w:kinsoku/>
        <w:wordWrap/>
        <w:overflowPunct/>
        <w:topLinePunct w:val="0"/>
        <w:bidi w:val="0"/>
        <w:snapToGrid/>
        <w:spacing w:line="600" w:lineRule="exact"/>
        <w:ind w:right="0" w:firstLine="640" w:firstLineChars="200"/>
        <w:textAlignment w:val="auto"/>
        <w:rPr>
          <w:rFonts w:hint="eastAsia" w:ascii="Times New Roman" w:hAnsi="Times New Roman" w:eastAsia="仿宋_GB2312" w:cs="仿宋_GB2312"/>
          <w:sz w:val="32"/>
          <w:szCs w:val="32"/>
        </w:rPr>
      </w:pPr>
      <w:r>
        <w:rPr>
          <w:rFonts w:ascii="Times New Roman" w:hAnsi="Times New Roman" w:eastAsia="仿宋_GB2312" w:cs="仿宋_GB2312"/>
          <w:sz w:val="32"/>
          <w:szCs w:val="32"/>
        </w:rPr>
        <w:t>GB 14934-2016</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食品安全国家标准 消毒餐（饮）具</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bidi w:val="0"/>
        <w:snapToGrid/>
        <w:spacing w:line="600" w:lineRule="exact"/>
        <w:ind w:right="0" w:firstLine="640" w:firstLineChars="200"/>
        <w:textAlignment w:val="auto"/>
        <w:rPr>
          <w:rFonts w:hint="eastAsia" w:ascii="Times New Roman" w:hAnsi="Times New Roman" w:eastAsia="仿宋_GB2312" w:cs="仿宋_GB2312"/>
          <w:sz w:val="32"/>
          <w:szCs w:val="32"/>
        </w:rPr>
      </w:pPr>
      <w:bookmarkStart w:id="0" w:name="OLE_LINK2"/>
      <w:r>
        <w:rPr>
          <w:rFonts w:hint="eastAsia" w:ascii="Times New Roman" w:hAnsi="Times New Roman" w:eastAsia="仿宋_GB2312" w:cs="仿宋_GB2312"/>
          <w:sz w:val="32"/>
          <w:szCs w:val="32"/>
        </w:rPr>
        <w:t>《食品用塑料包装、容器、工具等制品生产许可审查细则》等</w:t>
      </w:r>
    </w:p>
    <w:bookmarkEnd w:id="0"/>
    <w:p>
      <w:pPr>
        <w:keepNext w:val="0"/>
        <w:keepLines w:val="0"/>
        <w:pageBreakBefore w:val="0"/>
        <w:widowControl w:val="0"/>
        <w:kinsoku/>
        <w:wordWrap/>
        <w:overflowPunct/>
        <w:topLinePunct w:val="0"/>
        <w:bidi w:val="0"/>
        <w:snapToGrid/>
        <w:spacing w:line="600" w:lineRule="exact"/>
        <w:ind w:right="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其他现行有效的企业标准及产品明示质量要求</w:t>
      </w:r>
    </w:p>
    <w:p>
      <w:pPr>
        <w:keepNext w:val="0"/>
        <w:keepLines w:val="0"/>
        <w:pageBreakBefore w:val="0"/>
        <w:widowControl w:val="0"/>
        <w:kinsoku/>
        <w:wordWrap/>
        <w:overflowPunct/>
        <w:topLinePunct w:val="0"/>
        <w:bidi w:val="0"/>
        <w:snapToGrid/>
        <w:spacing w:line="600" w:lineRule="exact"/>
        <w:ind w:right="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相关的法律法规、部门规章和规范</w:t>
      </w:r>
    </w:p>
    <w:p>
      <w:pPr>
        <w:keepNext w:val="0"/>
        <w:keepLines w:val="0"/>
        <w:pageBreakBefore w:val="0"/>
        <w:widowControl w:val="0"/>
        <w:kinsoku/>
        <w:wordWrap/>
        <w:overflowPunct/>
        <w:topLinePunct w:val="0"/>
        <w:bidi w:val="0"/>
        <w:snapToGrid/>
        <w:spacing w:line="600" w:lineRule="exact"/>
        <w:ind w:right="0" w:firstLine="640" w:firstLineChars="200"/>
        <w:textAlignment w:val="auto"/>
        <w:rPr>
          <w:rFonts w:hint="eastAsia" w:ascii="Times New Roman" w:hAnsi="Times New Roman" w:eastAsia="黑体"/>
          <w:bCs/>
          <w:kern w:val="2"/>
          <w:sz w:val="32"/>
          <w:szCs w:val="32"/>
        </w:rPr>
      </w:pPr>
      <w:r>
        <w:rPr>
          <w:rFonts w:hint="eastAsia" w:ascii="Times New Roman" w:hAnsi="Times New Roman" w:eastAsia="黑体"/>
          <w:bCs/>
          <w:kern w:val="2"/>
          <w:sz w:val="32"/>
          <w:szCs w:val="32"/>
        </w:rPr>
        <w:t>3 抽样</w:t>
      </w:r>
    </w:p>
    <w:p>
      <w:pPr>
        <w:keepNext w:val="0"/>
        <w:keepLines w:val="0"/>
        <w:pageBreakBefore w:val="0"/>
        <w:widowControl w:val="0"/>
        <w:kinsoku/>
        <w:wordWrap/>
        <w:overflowPunct/>
        <w:topLinePunct w:val="0"/>
        <w:bidi w:val="0"/>
        <w:snapToGrid/>
        <w:spacing w:line="600" w:lineRule="exact"/>
        <w:ind w:right="0" w:firstLine="640" w:firstLineChars="200"/>
        <w:jc w:val="both"/>
        <w:textAlignment w:val="auto"/>
        <w:rPr>
          <w:rFonts w:hint="eastAsia" w:ascii="Times New Roman" w:hAnsi="Times New Roman" w:eastAsia="仿宋_GB2312" w:cs="仿宋_GB2312"/>
          <w:sz w:val="32"/>
          <w:szCs w:val="32"/>
          <w:lang w:bidi="ar"/>
        </w:rPr>
      </w:pPr>
      <w:r>
        <w:rPr>
          <w:rFonts w:hint="eastAsia" w:ascii="Times New Roman" w:hAnsi="Times New Roman" w:eastAsia="仿宋_GB2312" w:cs="仿宋_GB2312"/>
          <w:sz w:val="32"/>
          <w:szCs w:val="32"/>
          <w:lang w:bidi="ar"/>
        </w:rPr>
        <w:t>抽取样品应为同一型号规格、同一批次的产品。产品抽样数量可根据样品的实际大小，在满足检验的条件下作适当调整；抽取的两份样品分别单独封装，一份作为检验样品，一份作为留样，留样封存于承检机构。在抽取复合膜（袋）时，需与生产企业确认产品是否属于纸基或铝箔复合制成的；是否属于湿法复合以及直接用共挤复合工艺制成的膜（袋）。抽样数量见下表</w:t>
      </w:r>
      <w:r>
        <w:rPr>
          <w:rFonts w:hint="eastAsia" w:ascii="Times New Roman" w:hAnsi="Times New Roman" w:eastAsia="仿宋_GB2312" w:cs="仿宋_GB2312"/>
          <w:sz w:val="32"/>
          <w:szCs w:val="32"/>
          <w:lang w:eastAsia="zh-CN" w:bidi="ar"/>
        </w:rPr>
        <w:t>：</w:t>
      </w:r>
    </w:p>
    <w:tbl>
      <w:tblPr>
        <w:tblStyle w:val="3"/>
        <w:tblW w:w="10002" w:type="dxa"/>
        <w:jc w:val="center"/>
        <w:tblInd w:w="0" w:type="dxa"/>
        <w:tblLayout w:type="fixed"/>
        <w:tblCellMar>
          <w:top w:w="15" w:type="dxa"/>
          <w:left w:w="15" w:type="dxa"/>
          <w:bottom w:w="15" w:type="dxa"/>
          <w:right w:w="15" w:type="dxa"/>
        </w:tblCellMar>
      </w:tblPr>
      <w:tblGrid>
        <w:gridCol w:w="592"/>
        <w:gridCol w:w="1424"/>
        <w:gridCol w:w="3793"/>
        <w:gridCol w:w="4193"/>
      </w:tblGrid>
      <w:tr>
        <w:tblPrEx>
          <w:tblLayout w:type="fixed"/>
          <w:tblCellMar>
            <w:top w:w="15" w:type="dxa"/>
            <w:left w:w="15" w:type="dxa"/>
            <w:bottom w:w="15" w:type="dxa"/>
            <w:right w:w="15" w:type="dxa"/>
          </w:tblCellMar>
        </w:tblPrEx>
        <w:trPr>
          <w:trHeight w:val="405"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textAlignment w:val="center"/>
              <w:rPr>
                <w:rFonts w:hint="eastAsia" w:ascii="Times New Roman" w:hAnsi="Times New Roman" w:cs="宋体"/>
                <w:b/>
                <w:sz w:val="21"/>
                <w:szCs w:val="21"/>
              </w:rPr>
            </w:pPr>
            <w:r>
              <w:rPr>
                <w:rFonts w:hint="eastAsia" w:ascii="Times New Roman" w:hAnsi="Times New Roman" w:cs="宋体"/>
                <w:b/>
                <w:sz w:val="21"/>
                <w:szCs w:val="21"/>
                <w:lang w:bidi="ar"/>
              </w:rPr>
              <w:t>序号</w:t>
            </w:r>
          </w:p>
        </w:tc>
        <w:tc>
          <w:tcPr>
            <w:tcW w:w="14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textAlignment w:val="center"/>
              <w:rPr>
                <w:rFonts w:hint="eastAsia" w:ascii="Times New Roman" w:hAnsi="Times New Roman" w:cs="宋体"/>
                <w:b/>
                <w:sz w:val="21"/>
                <w:szCs w:val="21"/>
              </w:rPr>
            </w:pPr>
            <w:r>
              <w:rPr>
                <w:rFonts w:hint="eastAsia" w:ascii="Times New Roman" w:hAnsi="Times New Roman" w:cs="宋体"/>
                <w:b/>
                <w:sz w:val="21"/>
                <w:szCs w:val="21"/>
                <w:lang w:bidi="ar"/>
              </w:rPr>
              <w:t>抽查产品</w:t>
            </w:r>
          </w:p>
        </w:tc>
        <w:tc>
          <w:tcPr>
            <w:tcW w:w="37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textAlignment w:val="center"/>
              <w:rPr>
                <w:rFonts w:hint="eastAsia" w:ascii="Times New Roman" w:hAnsi="Times New Roman" w:cs="宋体"/>
                <w:b/>
                <w:sz w:val="21"/>
                <w:szCs w:val="21"/>
              </w:rPr>
            </w:pPr>
            <w:r>
              <w:rPr>
                <w:rFonts w:hint="eastAsia" w:ascii="Times New Roman" w:hAnsi="Times New Roman" w:cs="宋体"/>
                <w:b/>
                <w:sz w:val="21"/>
                <w:szCs w:val="21"/>
                <w:lang w:bidi="ar"/>
              </w:rPr>
              <w:t>相关产品</w:t>
            </w:r>
          </w:p>
        </w:tc>
        <w:tc>
          <w:tcPr>
            <w:tcW w:w="41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textAlignment w:val="center"/>
              <w:rPr>
                <w:rFonts w:hint="eastAsia" w:ascii="Times New Roman" w:hAnsi="Times New Roman" w:cs="宋体"/>
                <w:b/>
                <w:sz w:val="21"/>
                <w:szCs w:val="21"/>
              </w:rPr>
            </w:pPr>
            <w:r>
              <w:rPr>
                <w:rFonts w:hint="eastAsia" w:ascii="Times New Roman" w:hAnsi="Times New Roman" w:cs="宋体"/>
                <w:b/>
                <w:sz w:val="21"/>
                <w:szCs w:val="21"/>
                <w:lang w:bidi="ar"/>
              </w:rPr>
              <w:t>抽样数量</w:t>
            </w:r>
          </w:p>
        </w:tc>
      </w:tr>
      <w:tr>
        <w:tblPrEx>
          <w:tblLayout w:type="fixed"/>
          <w:tblCellMar>
            <w:top w:w="15" w:type="dxa"/>
            <w:left w:w="15" w:type="dxa"/>
            <w:bottom w:w="15" w:type="dxa"/>
            <w:right w:w="15" w:type="dxa"/>
          </w:tblCellMar>
        </w:tblPrEx>
        <w:trPr>
          <w:trHeight w:val="1316"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textAlignment w:val="center"/>
              <w:rPr>
                <w:rFonts w:hint="eastAsia" w:ascii="Times New Roman" w:hAnsi="Times New Roman" w:eastAsia="宋体" w:cs="宋体"/>
                <w:sz w:val="21"/>
                <w:szCs w:val="21"/>
                <w:lang w:eastAsia="zh-CN"/>
              </w:rPr>
            </w:pPr>
            <w:r>
              <w:rPr>
                <w:rFonts w:hint="eastAsia" w:ascii="Times New Roman" w:hAnsi="Times New Roman" w:cs="宋体"/>
                <w:sz w:val="21"/>
                <w:szCs w:val="21"/>
                <w:lang w:val="en-US" w:eastAsia="zh-CN"/>
              </w:rPr>
              <w:t>1</w:t>
            </w:r>
          </w:p>
        </w:tc>
        <w:tc>
          <w:tcPr>
            <w:tcW w:w="14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textAlignment w:val="center"/>
              <w:rPr>
                <w:rFonts w:hint="eastAsia" w:ascii="Times New Roman" w:hAnsi="Times New Roman" w:cs="宋体"/>
                <w:sz w:val="21"/>
                <w:szCs w:val="21"/>
                <w:lang w:bidi="ar"/>
              </w:rPr>
            </w:pPr>
            <w:r>
              <w:rPr>
                <w:rFonts w:hint="eastAsia" w:ascii="Times New Roman" w:hAnsi="Times New Roman" w:cs="宋体"/>
                <w:sz w:val="21"/>
                <w:szCs w:val="21"/>
                <w:lang w:bidi="ar"/>
              </w:rPr>
              <w:t>食品用塑料膜（袋）</w:t>
            </w:r>
          </w:p>
        </w:tc>
        <w:tc>
          <w:tcPr>
            <w:tcW w:w="37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textAlignment w:val="center"/>
              <w:rPr>
                <w:rFonts w:hint="eastAsia" w:ascii="Times New Roman" w:hAnsi="Times New Roman" w:cs="宋体"/>
                <w:sz w:val="21"/>
                <w:szCs w:val="21"/>
                <w:lang w:bidi="ar"/>
              </w:rPr>
            </w:pPr>
            <w:r>
              <w:rPr>
                <w:rFonts w:hint="eastAsia" w:ascii="Times New Roman" w:hAnsi="Times New Roman" w:cs="宋体"/>
                <w:sz w:val="21"/>
                <w:szCs w:val="21"/>
                <w:lang w:bidi="ar"/>
              </w:rPr>
              <w:t>复合膜袋、非复合膜袋：</w:t>
            </w:r>
            <w:r>
              <w:rPr>
                <w:rFonts w:ascii="Times New Roman" w:hAnsi="Times New Roman" w:cs="宋体"/>
                <w:sz w:val="21"/>
                <w:szCs w:val="21"/>
                <w:lang w:bidi="ar"/>
              </w:rPr>
              <w:t>聚乙烯，聚氯乙烯，聚偏二氯乙烯</w:t>
            </w:r>
            <w:r>
              <w:rPr>
                <w:rFonts w:hint="eastAsia" w:ascii="Times New Roman" w:hAnsi="Times New Roman" w:cs="宋体"/>
                <w:sz w:val="21"/>
                <w:szCs w:val="21"/>
                <w:lang w:bidi="ar"/>
              </w:rPr>
              <w:t>等</w:t>
            </w:r>
          </w:p>
        </w:tc>
        <w:tc>
          <w:tcPr>
            <w:tcW w:w="41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adjustRightInd w:val="0"/>
              <w:snapToGrid w:val="0"/>
              <w:spacing w:line="280" w:lineRule="exact"/>
              <w:ind w:firstLine="420"/>
              <w:rPr>
                <w:rFonts w:hint="eastAsia" w:ascii="Times New Roman" w:hAnsi="Times New Roman" w:cs="宋体"/>
                <w:sz w:val="21"/>
                <w:szCs w:val="21"/>
                <w:lang w:bidi="ar"/>
              </w:rPr>
            </w:pPr>
            <w:r>
              <w:rPr>
                <w:rFonts w:hint="eastAsia" w:ascii="Times New Roman" w:hAnsi="Times New Roman" w:cs="宋体"/>
                <w:sz w:val="21"/>
                <w:szCs w:val="21"/>
                <w:lang w:bidi="ar"/>
              </w:rPr>
              <w:t>膜类产品：每批次产品抽取样品3卷，将每卷膜外层除去2m，每卷膜各抽取2.5m</w:t>
            </w:r>
            <w:r>
              <w:rPr>
                <w:rFonts w:hint="eastAsia" w:ascii="Times New Roman" w:hAnsi="Times New Roman" w:cs="宋体"/>
                <w:sz w:val="21"/>
                <w:szCs w:val="21"/>
                <w:vertAlign w:val="superscript"/>
                <w:lang w:bidi="ar"/>
              </w:rPr>
              <w:t>2</w:t>
            </w:r>
            <w:r>
              <w:rPr>
                <w:rFonts w:hint="eastAsia" w:ascii="Times New Roman" w:hAnsi="Times New Roman" w:cs="宋体"/>
                <w:sz w:val="21"/>
                <w:szCs w:val="21"/>
                <w:lang w:bidi="ar"/>
              </w:rPr>
              <w:t>×2，平均分为2份，其中1份作为检验样品，1份作为备用样品；对于执行标准为GB/T 18706-2008的液体食品保鲜包装用纸基复合材料产品和执行标准为GB/T 19741-2005的液体食品包装用塑料复合膜、袋产品应从每卷膜各抽取2.5m</w:t>
            </w:r>
            <w:r>
              <w:rPr>
                <w:rFonts w:hint="eastAsia" w:ascii="Times New Roman" w:hAnsi="Times New Roman" w:cs="宋体"/>
                <w:sz w:val="21"/>
                <w:szCs w:val="21"/>
                <w:vertAlign w:val="superscript"/>
                <w:lang w:bidi="ar"/>
              </w:rPr>
              <w:t>2</w:t>
            </w:r>
            <w:r>
              <w:rPr>
                <w:rFonts w:hint="eastAsia" w:ascii="Times New Roman" w:hAnsi="Times New Roman" w:cs="宋体"/>
                <w:sz w:val="21"/>
                <w:szCs w:val="21"/>
                <w:lang w:bidi="ar"/>
              </w:rPr>
              <w:t>×3，平均分为3份，其中1份作为其他检验用样品，1份作为微生物检验用样品，1份作为备用样品。</w:t>
            </w:r>
          </w:p>
          <w:p>
            <w:pPr>
              <w:keepNext w:val="0"/>
              <w:keepLines w:val="0"/>
              <w:pageBreakBefore w:val="0"/>
              <w:widowControl w:val="0"/>
              <w:kinsoku/>
              <w:wordWrap/>
              <w:overflowPunct/>
              <w:topLinePunct w:val="0"/>
              <w:bidi w:val="0"/>
              <w:spacing w:line="280" w:lineRule="exact"/>
              <w:ind w:firstLine="420" w:firstLineChars="200"/>
              <w:rPr>
                <w:rFonts w:hint="eastAsia" w:ascii="Times New Roman" w:hAnsi="Times New Roman" w:cs="宋体"/>
                <w:sz w:val="21"/>
                <w:szCs w:val="21"/>
                <w:lang w:bidi="ar"/>
              </w:rPr>
            </w:pPr>
            <w:r>
              <w:rPr>
                <w:rFonts w:hint="eastAsia" w:ascii="Times New Roman" w:hAnsi="Times New Roman" w:cs="宋体"/>
                <w:sz w:val="21"/>
                <w:szCs w:val="21"/>
                <w:lang w:bidi="ar"/>
              </w:rPr>
              <w:t>袋类产品：每批次产品抽取从3箱中分别抽取30个×2（袋规格应不小于15cm×15cm），平均分为2份，其中30个×3作为检验样品，30个×3作为备用样品；对于执行标准为GB/T 18706-2008的液体食品保鲜包装用纸基复合材料产品和执行标准为GB/T 19741-2005的液体食品包装用塑料复合膜、袋产品应分别从3箱中抽取30个×3（袋规格应不小于15cm×15cm），平均分为3份，其中30个×3作为其他检验用样品，30个×3作为微生物检验用样品，30个×3作为备用样品。</w:t>
            </w:r>
          </w:p>
        </w:tc>
      </w:tr>
      <w:tr>
        <w:tblPrEx>
          <w:tblLayout w:type="fixed"/>
          <w:tblCellMar>
            <w:top w:w="15" w:type="dxa"/>
            <w:left w:w="15" w:type="dxa"/>
            <w:bottom w:w="15" w:type="dxa"/>
            <w:right w:w="15" w:type="dxa"/>
          </w:tblCellMar>
        </w:tblPrEx>
        <w:trPr>
          <w:trHeight w:val="1316"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textAlignment w:val="center"/>
              <w:rPr>
                <w:rFonts w:hint="eastAsia" w:ascii="Times New Roman" w:hAnsi="Times New Roman" w:eastAsia="宋体" w:cs="宋体"/>
                <w:sz w:val="21"/>
                <w:szCs w:val="21"/>
                <w:lang w:eastAsia="zh-CN" w:bidi="ar"/>
              </w:rPr>
            </w:pPr>
            <w:r>
              <w:rPr>
                <w:rFonts w:hint="eastAsia" w:ascii="Times New Roman" w:hAnsi="Times New Roman" w:cs="宋体"/>
                <w:sz w:val="21"/>
                <w:szCs w:val="21"/>
                <w:lang w:val="en-US" w:eastAsia="zh-CN" w:bidi="ar"/>
              </w:rPr>
              <w:t>2</w:t>
            </w:r>
          </w:p>
        </w:tc>
        <w:tc>
          <w:tcPr>
            <w:tcW w:w="14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textAlignment w:val="center"/>
              <w:rPr>
                <w:rFonts w:hint="eastAsia" w:ascii="Times New Roman" w:hAnsi="Times New Roman" w:cs="宋体"/>
                <w:sz w:val="21"/>
                <w:szCs w:val="21"/>
                <w:lang w:bidi="ar"/>
              </w:rPr>
            </w:pPr>
            <w:r>
              <w:rPr>
                <w:rFonts w:hint="eastAsia" w:ascii="Times New Roman" w:hAnsi="Times New Roman" w:cs="宋体"/>
                <w:sz w:val="21"/>
                <w:szCs w:val="21"/>
                <w:lang w:bidi="ar"/>
              </w:rPr>
              <w:t>一次性塑料餐饮具</w:t>
            </w:r>
          </w:p>
        </w:tc>
        <w:tc>
          <w:tcPr>
            <w:tcW w:w="37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textAlignment w:val="center"/>
              <w:rPr>
                <w:rFonts w:hint="eastAsia" w:ascii="Times New Roman" w:hAnsi="Times New Roman" w:cs="宋体"/>
                <w:sz w:val="21"/>
                <w:szCs w:val="21"/>
                <w:lang w:bidi="ar"/>
              </w:rPr>
            </w:pPr>
            <w:r>
              <w:rPr>
                <w:rFonts w:hint="eastAsia" w:ascii="Times New Roman" w:hAnsi="Times New Roman" w:cs="宋体"/>
                <w:sz w:val="21"/>
                <w:szCs w:val="21"/>
                <w:lang w:bidi="ar"/>
              </w:rPr>
              <w:t>聚氯乙烯、聚丙烯、聚乙烯、聚苯乙烯、聚对苯二甲酸乙二醇酯、聚碳酸酯、丙烯腈</w:t>
            </w:r>
            <w:r>
              <w:rPr>
                <w:rFonts w:ascii="Times New Roman" w:hAnsi="Times New Roman" w:cs="宋体"/>
                <w:sz w:val="21"/>
                <w:szCs w:val="21"/>
                <w:lang w:bidi="ar"/>
              </w:rPr>
              <w:t>-</w:t>
            </w:r>
            <w:r>
              <w:rPr>
                <w:rFonts w:hint="eastAsia" w:ascii="Times New Roman" w:hAnsi="Times New Roman" w:cs="宋体"/>
                <w:sz w:val="21"/>
                <w:szCs w:val="21"/>
                <w:lang w:bidi="ar"/>
              </w:rPr>
              <w:t>丁二烯</w:t>
            </w:r>
            <w:r>
              <w:rPr>
                <w:rFonts w:ascii="Times New Roman" w:hAnsi="Times New Roman" w:cs="宋体"/>
                <w:sz w:val="21"/>
                <w:szCs w:val="21"/>
                <w:lang w:bidi="ar"/>
              </w:rPr>
              <w:t>-</w:t>
            </w:r>
            <w:r>
              <w:rPr>
                <w:rFonts w:hint="eastAsia" w:ascii="Times New Roman" w:hAnsi="Times New Roman" w:cs="宋体"/>
                <w:sz w:val="21"/>
                <w:szCs w:val="21"/>
                <w:lang w:bidi="ar"/>
              </w:rPr>
              <w:t>苯乙烯、丙烯腈</w:t>
            </w:r>
            <w:r>
              <w:rPr>
                <w:rFonts w:ascii="Times New Roman" w:hAnsi="Times New Roman" w:cs="宋体"/>
                <w:sz w:val="21"/>
                <w:szCs w:val="21"/>
                <w:lang w:bidi="ar"/>
              </w:rPr>
              <w:t>-</w:t>
            </w:r>
            <w:r>
              <w:rPr>
                <w:rFonts w:hint="eastAsia" w:ascii="Times New Roman" w:hAnsi="Times New Roman" w:cs="宋体"/>
                <w:sz w:val="21"/>
                <w:szCs w:val="21"/>
                <w:lang w:bidi="ar"/>
              </w:rPr>
              <w:t>苯乙烯、密胺、玻璃钢、尼龙、其他材质的碗、碟、杯、刀、叉、饭盒、托等</w:t>
            </w:r>
          </w:p>
        </w:tc>
        <w:tc>
          <w:tcPr>
            <w:tcW w:w="41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ind w:firstLine="420" w:firstLineChars="200"/>
              <w:rPr>
                <w:rFonts w:hint="eastAsia" w:ascii="Times New Roman" w:hAnsi="Times New Roman" w:cs="宋体"/>
                <w:sz w:val="21"/>
                <w:szCs w:val="21"/>
                <w:lang w:bidi="ar"/>
              </w:rPr>
            </w:pPr>
            <w:r>
              <w:rPr>
                <w:rFonts w:hint="eastAsia" w:ascii="Times New Roman" w:hAnsi="Times New Roman" w:cs="宋体"/>
                <w:sz w:val="21"/>
                <w:szCs w:val="21"/>
                <w:lang w:bidi="ar"/>
              </w:rPr>
              <w:t>每批次产品抽取不少于3份最小销售独立包装，每份样品抽样数量不少于40只（个），其中2份作为检验样品，1份作为备用样品。每份样品质量应不少于100g且与食品接触面的最小表面积应不小于10dm</w:t>
            </w:r>
            <w:r>
              <w:rPr>
                <w:rFonts w:hint="eastAsia" w:ascii="Times New Roman" w:hAnsi="Times New Roman" w:cs="宋体"/>
                <w:sz w:val="21"/>
                <w:szCs w:val="21"/>
                <w:vertAlign w:val="superscript"/>
                <w:lang w:bidi="ar"/>
              </w:rPr>
              <w:t>2</w:t>
            </w:r>
            <w:r>
              <w:rPr>
                <w:rFonts w:hint="eastAsia" w:ascii="Times New Roman" w:hAnsi="Times New Roman" w:cs="宋体"/>
                <w:sz w:val="21"/>
                <w:szCs w:val="21"/>
                <w:lang w:bidi="ar"/>
              </w:rPr>
              <w:t>（若最小销售包装不是40只（个）的整数倍，需按采样数折算，保证检样不少于80只（个），备样不少于40只（个），避免损坏原包装）。</w:t>
            </w:r>
          </w:p>
        </w:tc>
      </w:tr>
    </w:tbl>
    <w:p>
      <w:pPr>
        <w:keepNext w:val="0"/>
        <w:keepLines w:val="0"/>
        <w:pageBreakBefore w:val="0"/>
        <w:widowControl w:val="0"/>
        <w:kinsoku/>
        <w:wordWrap/>
        <w:overflowPunct/>
        <w:topLinePunct w:val="0"/>
        <w:bidi w:val="0"/>
        <w:spacing w:line="280" w:lineRule="exact"/>
        <w:ind w:firstLine="420" w:firstLineChars="200"/>
        <w:jc w:val="both"/>
        <w:rPr>
          <w:rFonts w:hint="eastAsia" w:ascii="Times New Roman" w:hAnsi="Times New Roman" w:cs="宋体"/>
          <w:sz w:val="21"/>
          <w:szCs w:val="21"/>
          <w:lang w:bidi="ar"/>
        </w:rPr>
      </w:pPr>
      <w:r>
        <w:rPr>
          <w:rFonts w:hint="eastAsia" w:ascii="Times New Roman" w:hAnsi="Times New Roman" w:cs="宋体"/>
          <w:sz w:val="21"/>
          <w:szCs w:val="21"/>
          <w:lang w:bidi="ar"/>
        </w:rPr>
        <w:t>注：需提供产品的标识或符合性声明。</w:t>
      </w:r>
    </w:p>
    <w:p>
      <w:pPr>
        <w:keepNext w:val="0"/>
        <w:keepLines w:val="0"/>
        <w:pageBreakBefore w:val="0"/>
        <w:widowControl w:val="0"/>
        <w:kinsoku/>
        <w:wordWrap/>
        <w:overflowPunct/>
        <w:topLinePunct w:val="0"/>
        <w:autoSpaceDE w:val="0"/>
        <w:autoSpaceDN w:val="0"/>
        <w:bidi w:val="0"/>
        <w:adjustRightInd w:val="0"/>
        <w:snapToGrid/>
        <w:spacing w:line="600" w:lineRule="exact"/>
        <w:ind w:right="0" w:firstLine="640" w:firstLineChars="200"/>
        <w:jc w:val="both"/>
        <w:textAlignment w:val="auto"/>
        <w:rPr>
          <w:rFonts w:hint="eastAsia" w:ascii="Times New Roman" w:hAnsi="Times New Roman" w:eastAsia="黑体"/>
          <w:bCs/>
          <w:kern w:val="2"/>
          <w:sz w:val="32"/>
          <w:szCs w:val="32"/>
        </w:rPr>
      </w:pPr>
      <w:r>
        <w:rPr>
          <w:rFonts w:hint="eastAsia" w:ascii="Times New Roman" w:hAnsi="Times New Roman" w:eastAsia="黑体"/>
          <w:bCs/>
          <w:kern w:val="2"/>
          <w:sz w:val="32"/>
          <w:szCs w:val="32"/>
        </w:rPr>
        <w:t>4 检验项目要求</w:t>
      </w:r>
    </w:p>
    <w:tbl>
      <w:tblPr>
        <w:tblStyle w:val="3"/>
        <w:tblW w:w="9696" w:type="dxa"/>
        <w:jc w:val="center"/>
        <w:tblInd w:w="384" w:type="dxa"/>
        <w:tblLayout w:type="fixed"/>
        <w:tblCellMar>
          <w:top w:w="15" w:type="dxa"/>
          <w:left w:w="15" w:type="dxa"/>
          <w:bottom w:w="15" w:type="dxa"/>
          <w:right w:w="15" w:type="dxa"/>
        </w:tblCellMar>
      </w:tblPr>
      <w:tblGrid>
        <w:gridCol w:w="765"/>
        <w:gridCol w:w="709"/>
        <w:gridCol w:w="1843"/>
        <w:gridCol w:w="2977"/>
        <w:gridCol w:w="2054"/>
        <w:gridCol w:w="1348"/>
      </w:tblGrid>
      <w:tr>
        <w:tblPrEx>
          <w:tblLayout w:type="fixed"/>
          <w:tblCellMar>
            <w:top w:w="15" w:type="dxa"/>
            <w:left w:w="15" w:type="dxa"/>
            <w:bottom w:w="15" w:type="dxa"/>
            <w:right w:w="15" w:type="dxa"/>
          </w:tblCellMar>
        </w:tblPrEx>
        <w:trPr>
          <w:trHeight w:val="285"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textAlignment w:val="center"/>
              <w:rPr>
                <w:rFonts w:hint="eastAsia" w:ascii="Times New Roman" w:hAnsi="Times New Roman" w:cs="宋体"/>
                <w:b/>
                <w:color w:val="000000"/>
                <w:sz w:val="21"/>
                <w:szCs w:val="21"/>
              </w:rPr>
            </w:pPr>
            <w:r>
              <w:rPr>
                <w:rFonts w:hint="eastAsia" w:ascii="Times New Roman" w:hAnsi="Times New Roman" w:cs="宋体"/>
                <w:b/>
                <w:color w:val="000000"/>
                <w:sz w:val="21"/>
                <w:szCs w:val="21"/>
                <w:lang w:bidi="ar"/>
              </w:rPr>
              <w:t>产品</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textAlignment w:val="center"/>
              <w:rPr>
                <w:rFonts w:hint="eastAsia" w:ascii="Times New Roman" w:hAnsi="Times New Roman" w:cs="宋体"/>
                <w:b/>
                <w:color w:val="000000"/>
                <w:sz w:val="21"/>
                <w:szCs w:val="21"/>
              </w:rPr>
            </w:pPr>
            <w:r>
              <w:rPr>
                <w:rFonts w:hint="eastAsia" w:ascii="Times New Roman" w:hAnsi="Times New Roman" w:cs="宋体"/>
                <w:b/>
                <w:color w:val="000000"/>
                <w:sz w:val="21"/>
                <w:szCs w:val="21"/>
                <w:lang w:bidi="ar"/>
              </w:rPr>
              <w:t>序号</w:t>
            </w:r>
          </w:p>
        </w:tc>
        <w:tc>
          <w:tcPr>
            <w:tcW w:w="18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textAlignment w:val="center"/>
              <w:rPr>
                <w:rFonts w:hint="eastAsia" w:ascii="Times New Roman" w:hAnsi="Times New Roman" w:cs="宋体"/>
                <w:b/>
                <w:color w:val="000000"/>
                <w:sz w:val="21"/>
                <w:szCs w:val="21"/>
              </w:rPr>
            </w:pPr>
            <w:r>
              <w:rPr>
                <w:rFonts w:hint="eastAsia" w:ascii="Times New Roman" w:hAnsi="Times New Roman" w:cs="宋体"/>
                <w:b/>
                <w:color w:val="000000"/>
                <w:sz w:val="21"/>
                <w:szCs w:val="21"/>
                <w:lang w:bidi="ar"/>
              </w:rPr>
              <w:t>检验项目</w:t>
            </w:r>
          </w:p>
        </w:tc>
        <w:tc>
          <w:tcPr>
            <w:tcW w:w="29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textAlignment w:val="center"/>
              <w:rPr>
                <w:rFonts w:hint="eastAsia" w:ascii="Times New Roman" w:hAnsi="Times New Roman" w:cs="宋体"/>
                <w:b/>
                <w:color w:val="000000"/>
                <w:sz w:val="21"/>
                <w:szCs w:val="21"/>
              </w:rPr>
            </w:pPr>
            <w:r>
              <w:rPr>
                <w:rFonts w:hint="eastAsia" w:ascii="Times New Roman" w:hAnsi="Times New Roman" w:cs="宋体"/>
                <w:b/>
                <w:color w:val="000000"/>
                <w:sz w:val="21"/>
                <w:szCs w:val="21"/>
                <w:lang w:bidi="ar"/>
              </w:rPr>
              <w:t>依据法律法规或标准</w:t>
            </w:r>
          </w:p>
        </w:tc>
        <w:tc>
          <w:tcPr>
            <w:tcW w:w="20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textAlignment w:val="center"/>
              <w:rPr>
                <w:rFonts w:hint="eastAsia" w:ascii="Times New Roman" w:hAnsi="Times New Roman" w:cs="宋体"/>
                <w:b/>
                <w:color w:val="000000"/>
                <w:sz w:val="21"/>
                <w:szCs w:val="21"/>
              </w:rPr>
            </w:pPr>
            <w:r>
              <w:rPr>
                <w:rFonts w:hint="eastAsia" w:ascii="Times New Roman" w:hAnsi="Times New Roman" w:cs="宋体"/>
                <w:b/>
                <w:color w:val="000000"/>
                <w:sz w:val="21"/>
                <w:szCs w:val="21"/>
                <w:lang w:bidi="ar"/>
              </w:rPr>
              <w:t>检验方法</w:t>
            </w:r>
          </w:p>
        </w:tc>
        <w:tc>
          <w:tcPr>
            <w:tcW w:w="134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textAlignment w:val="center"/>
              <w:rPr>
                <w:rFonts w:hint="eastAsia" w:ascii="Times New Roman" w:hAnsi="Times New Roman" w:cs="宋体"/>
                <w:b/>
                <w:color w:val="000000"/>
                <w:sz w:val="21"/>
                <w:szCs w:val="21"/>
              </w:rPr>
            </w:pPr>
            <w:r>
              <w:rPr>
                <w:rFonts w:hint="eastAsia" w:ascii="Times New Roman" w:hAnsi="Times New Roman" w:cs="宋体"/>
                <w:b/>
                <w:color w:val="000000"/>
                <w:sz w:val="21"/>
                <w:szCs w:val="21"/>
                <w:lang w:bidi="ar"/>
              </w:rPr>
              <w:t>备注</w:t>
            </w:r>
          </w:p>
        </w:tc>
      </w:tr>
      <w:tr>
        <w:tblPrEx>
          <w:tblLayout w:type="fixed"/>
          <w:tblCellMar>
            <w:top w:w="15" w:type="dxa"/>
            <w:left w:w="15" w:type="dxa"/>
            <w:bottom w:w="15" w:type="dxa"/>
            <w:right w:w="15" w:type="dxa"/>
          </w:tblCellMar>
        </w:tblPrEx>
        <w:trPr>
          <w:trHeight w:val="15" w:hRule="atLeast"/>
          <w:jc w:val="center"/>
        </w:trPr>
        <w:tc>
          <w:tcPr>
            <w:tcW w:w="765" w:type="dxa"/>
            <w:vMerge w:val="restart"/>
            <w:tcBorders>
              <w:left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rPr>
                <w:rFonts w:hint="eastAsia" w:ascii="Times New Roman" w:hAnsi="Times New Roman" w:cs="宋体"/>
                <w:color w:val="000000"/>
                <w:sz w:val="21"/>
                <w:szCs w:val="21"/>
              </w:rPr>
            </w:pPr>
            <w:r>
              <w:rPr>
                <w:rFonts w:hint="eastAsia" w:ascii="Times New Roman" w:hAnsi="Times New Roman" w:cs="宋体"/>
                <w:color w:val="000000"/>
                <w:sz w:val="21"/>
                <w:szCs w:val="21"/>
              </w:rPr>
              <w:t>食品用塑料膜（袋）</w:t>
            </w:r>
          </w:p>
        </w:tc>
        <w:tc>
          <w:tcPr>
            <w:tcW w:w="709"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1</w:t>
            </w:r>
          </w:p>
        </w:tc>
        <w:tc>
          <w:tcPr>
            <w:tcW w:w="1843"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高锰酸钾消耗量</w:t>
            </w:r>
          </w:p>
        </w:tc>
        <w:tc>
          <w:tcPr>
            <w:tcW w:w="2977"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GB 4806.7-2016/GB 9683-1988</w:t>
            </w:r>
          </w:p>
        </w:tc>
        <w:tc>
          <w:tcPr>
            <w:tcW w:w="2054"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GB 31604.2-2016</w:t>
            </w:r>
          </w:p>
        </w:tc>
        <w:tc>
          <w:tcPr>
            <w:tcW w:w="1348"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rPr>
                <w:rFonts w:hint="eastAsia" w:ascii="Times New Roman" w:hAnsi="Times New Roman" w:cs="宋体"/>
                <w:color w:val="000000"/>
                <w:sz w:val="21"/>
                <w:szCs w:val="21"/>
                <w:lang w:bidi="ar"/>
              </w:rPr>
            </w:pPr>
          </w:p>
        </w:tc>
      </w:tr>
      <w:tr>
        <w:tblPrEx>
          <w:tblLayout w:type="fixed"/>
          <w:tblCellMar>
            <w:top w:w="15" w:type="dxa"/>
            <w:left w:w="15" w:type="dxa"/>
            <w:bottom w:w="15" w:type="dxa"/>
            <w:right w:w="15" w:type="dxa"/>
          </w:tblCellMar>
        </w:tblPrEx>
        <w:trPr>
          <w:trHeight w:val="15" w:hRule="atLeast"/>
          <w:jc w:val="center"/>
        </w:trPr>
        <w:tc>
          <w:tcPr>
            <w:tcW w:w="765"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rPr>
                <w:rFonts w:hint="eastAsia" w:ascii="Times New Roman" w:hAnsi="Times New Roman" w:cs="宋体"/>
                <w:color w:val="000000"/>
                <w:sz w:val="21"/>
                <w:szCs w:val="21"/>
              </w:rPr>
            </w:pPr>
          </w:p>
        </w:tc>
        <w:tc>
          <w:tcPr>
            <w:tcW w:w="709"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2</w:t>
            </w:r>
          </w:p>
        </w:tc>
        <w:tc>
          <w:tcPr>
            <w:tcW w:w="1843"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总迁移量/蒸发残渣</w:t>
            </w:r>
          </w:p>
        </w:tc>
        <w:tc>
          <w:tcPr>
            <w:tcW w:w="2977"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GB 4806.7-2016/GB 9683-1988</w:t>
            </w:r>
          </w:p>
        </w:tc>
        <w:tc>
          <w:tcPr>
            <w:tcW w:w="2054"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GB 31604.8-2021</w:t>
            </w:r>
          </w:p>
        </w:tc>
        <w:tc>
          <w:tcPr>
            <w:tcW w:w="1348"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rPr>
                <w:rFonts w:hint="eastAsia" w:ascii="Times New Roman" w:hAnsi="Times New Roman" w:cs="宋体"/>
                <w:color w:val="000000"/>
                <w:sz w:val="21"/>
                <w:szCs w:val="21"/>
                <w:lang w:bidi="ar"/>
              </w:rPr>
            </w:pPr>
          </w:p>
        </w:tc>
      </w:tr>
      <w:tr>
        <w:tblPrEx>
          <w:tblLayout w:type="fixed"/>
          <w:tblCellMar>
            <w:top w:w="15" w:type="dxa"/>
            <w:left w:w="15" w:type="dxa"/>
            <w:bottom w:w="15" w:type="dxa"/>
            <w:right w:w="15" w:type="dxa"/>
          </w:tblCellMar>
        </w:tblPrEx>
        <w:trPr>
          <w:trHeight w:val="15" w:hRule="atLeast"/>
          <w:jc w:val="center"/>
        </w:trPr>
        <w:tc>
          <w:tcPr>
            <w:tcW w:w="765"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rPr>
                <w:rFonts w:hint="eastAsia" w:ascii="Times New Roman" w:hAnsi="Times New Roman" w:cs="宋体"/>
                <w:color w:val="000000"/>
                <w:sz w:val="21"/>
                <w:szCs w:val="21"/>
              </w:rPr>
            </w:pPr>
          </w:p>
        </w:tc>
        <w:tc>
          <w:tcPr>
            <w:tcW w:w="709"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3</w:t>
            </w:r>
          </w:p>
        </w:tc>
        <w:tc>
          <w:tcPr>
            <w:tcW w:w="1843"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重金属</w:t>
            </w:r>
          </w:p>
        </w:tc>
        <w:tc>
          <w:tcPr>
            <w:tcW w:w="2977"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GB 4806.7-2016/GB 9683-1988</w:t>
            </w:r>
          </w:p>
        </w:tc>
        <w:tc>
          <w:tcPr>
            <w:tcW w:w="2054"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GB 31604.9-2016</w:t>
            </w:r>
          </w:p>
        </w:tc>
        <w:tc>
          <w:tcPr>
            <w:tcW w:w="1348"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rPr>
                <w:rFonts w:hint="eastAsia" w:ascii="Times New Roman" w:hAnsi="Times New Roman" w:cs="宋体"/>
                <w:color w:val="000000"/>
                <w:sz w:val="21"/>
                <w:szCs w:val="21"/>
                <w:lang w:bidi="ar"/>
              </w:rPr>
            </w:pPr>
          </w:p>
        </w:tc>
      </w:tr>
      <w:tr>
        <w:tblPrEx>
          <w:tblLayout w:type="fixed"/>
          <w:tblCellMar>
            <w:top w:w="15" w:type="dxa"/>
            <w:left w:w="15" w:type="dxa"/>
            <w:bottom w:w="15" w:type="dxa"/>
            <w:right w:w="15" w:type="dxa"/>
          </w:tblCellMar>
        </w:tblPrEx>
        <w:trPr>
          <w:trHeight w:val="15" w:hRule="atLeast"/>
          <w:jc w:val="center"/>
        </w:trPr>
        <w:tc>
          <w:tcPr>
            <w:tcW w:w="765"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rPr>
                <w:rFonts w:hint="eastAsia" w:ascii="Times New Roman" w:hAnsi="Times New Roman" w:cs="宋体"/>
                <w:color w:val="000000"/>
                <w:sz w:val="21"/>
                <w:szCs w:val="21"/>
              </w:rPr>
            </w:pPr>
          </w:p>
        </w:tc>
        <w:tc>
          <w:tcPr>
            <w:tcW w:w="709"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4</w:t>
            </w:r>
          </w:p>
        </w:tc>
        <w:tc>
          <w:tcPr>
            <w:tcW w:w="1843"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脱色试验</w:t>
            </w:r>
          </w:p>
        </w:tc>
        <w:tc>
          <w:tcPr>
            <w:tcW w:w="2977"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GB 4806.7-2016</w:t>
            </w:r>
          </w:p>
        </w:tc>
        <w:tc>
          <w:tcPr>
            <w:tcW w:w="2054"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GB 31604.7-2016</w:t>
            </w:r>
          </w:p>
        </w:tc>
        <w:tc>
          <w:tcPr>
            <w:tcW w:w="1348"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仅适用添加了着色剂的产品</w:t>
            </w:r>
          </w:p>
        </w:tc>
      </w:tr>
      <w:tr>
        <w:tblPrEx>
          <w:tblLayout w:type="fixed"/>
          <w:tblCellMar>
            <w:top w:w="15" w:type="dxa"/>
            <w:left w:w="15" w:type="dxa"/>
            <w:bottom w:w="15" w:type="dxa"/>
            <w:right w:w="15" w:type="dxa"/>
          </w:tblCellMar>
        </w:tblPrEx>
        <w:trPr>
          <w:trHeight w:val="15" w:hRule="atLeast"/>
          <w:jc w:val="center"/>
        </w:trPr>
        <w:tc>
          <w:tcPr>
            <w:tcW w:w="765"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rPr>
                <w:rFonts w:hint="eastAsia" w:ascii="Times New Roman" w:hAnsi="Times New Roman" w:cs="宋体"/>
                <w:color w:val="000000"/>
                <w:sz w:val="21"/>
                <w:szCs w:val="21"/>
              </w:rPr>
            </w:pPr>
          </w:p>
        </w:tc>
        <w:tc>
          <w:tcPr>
            <w:tcW w:w="709"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5</w:t>
            </w:r>
          </w:p>
        </w:tc>
        <w:tc>
          <w:tcPr>
            <w:tcW w:w="1843"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感官要求</w:t>
            </w:r>
          </w:p>
        </w:tc>
        <w:tc>
          <w:tcPr>
            <w:tcW w:w="2977"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rPr>
                <w:rFonts w:ascii="Times New Roman" w:hAnsi="Times New Roman" w:cs="宋体"/>
                <w:color w:val="000000"/>
                <w:sz w:val="21"/>
                <w:szCs w:val="21"/>
                <w:lang w:bidi="ar"/>
              </w:rPr>
            </w:pPr>
            <w:r>
              <w:rPr>
                <w:rFonts w:hint="eastAsia" w:ascii="Times New Roman" w:hAnsi="Times New Roman" w:cs="宋体"/>
                <w:color w:val="000000"/>
                <w:sz w:val="21"/>
                <w:szCs w:val="21"/>
                <w:lang w:bidi="ar"/>
              </w:rPr>
              <w:t>GB 4806.7-2016/GB 9683-1988</w:t>
            </w:r>
          </w:p>
        </w:tc>
        <w:tc>
          <w:tcPr>
            <w:tcW w:w="2054"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rPr>
                <w:rFonts w:ascii="Times New Roman" w:hAnsi="Times New Roman" w:cs="宋体"/>
                <w:color w:val="000000"/>
                <w:sz w:val="21"/>
                <w:szCs w:val="21"/>
                <w:lang w:bidi="ar"/>
              </w:rPr>
            </w:pPr>
            <w:r>
              <w:rPr>
                <w:rFonts w:hint="eastAsia" w:ascii="Times New Roman" w:hAnsi="Times New Roman" w:cs="宋体"/>
                <w:color w:val="000000"/>
                <w:sz w:val="21"/>
                <w:szCs w:val="21"/>
                <w:lang w:bidi="ar"/>
              </w:rPr>
              <w:t>GB 4806.7-2016/GB 9683-1988</w:t>
            </w:r>
          </w:p>
        </w:tc>
        <w:tc>
          <w:tcPr>
            <w:tcW w:w="1348"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rPr>
                <w:rFonts w:hint="eastAsia" w:ascii="Times New Roman" w:hAnsi="Times New Roman" w:cs="宋体"/>
                <w:color w:val="000000"/>
                <w:sz w:val="21"/>
                <w:szCs w:val="21"/>
                <w:lang w:bidi="ar"/>
              </w:rPr>
            </w:pPr>
          </w:p>
        </w:tc>
      </w:tr>
      <w:tr>
        <w:tblPrEx>
          <w:tblLayout w:type="fixed"/>
          <w:tblCellMar>
            <w:top w:w="15" w:type="dxa"/>
            <w:left w:w="15" w:type="dxa"/>
            <w:bottom w:w="15" w:type="dxa"/>
            <w:right w:w="15" w:type="dxa"/>
          </w:tblCellMar>
        </w:tblPrEx>
        <w:trPr>
          <w:trHeight w:val="15" w:hRule="atLeast"/>
          <w:jc w:val="center"/>
        </w:trPr>
        <w:tc>
          <w:tcPr>
            <w:tcW w:w="765"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rPr>
                <w:rFonts w:hint="eastAsia" w:ascii="Times New Roman" w:hAnsi="Times New Roman" w:cs="宋体"/>
                <w:color w:val="000000"/>
                <w:sz w:val="21"/>
                <w:szCs w:val="21"/>
              </w:rPr>
            </w:pPr>
          </w:p>
        </w:tc>
        <w:tc>
          <w:tcPr>
            <w:tcW w:w="709"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6</w:t>
            </w:r>
          </w:p>
        </w:tc>
        <w:tc>
          <w:tcPr>
            <w:tcW w:w="1843"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其他单体及其他起始物的特定迁移限量、特定迁移总量限量、最大残留量等</w:t>
            </w:r>
          </w:p>
        </w:tc>
        <w:tc>
          <w:tcPr>
            <w:tcW w:w="2977"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GB 4806.6-2016</w:t>
            </w:r>
          </w:p>
        </w:tc>
        <w:tc>
          <w:tcPr>
            <w:tcW w:w="2054"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GB 31604.31-2016等</w:t>
            </w:r>
          </w:p>
        </w:tc>
        <w:tc>
          <w:tcPr>
            <w:tcW w:w="1348"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具体见材质</w:t>
            </w:r>
          </w:p>
        </w:tc>
      </w:tr>
      <w:tr>
        <w:tblPrEx>
          <w:tblLayout w:type="fixed"/>
          <w:tblCellMar>
            <w:top w:w="15" w:type="dxa"/>
            <w:left w:w="15" w:type="dxa"/>
            <w:bottom w:w="15" w:type="dxa"/>
            <w:right w:w="15" w:type="dxa"/>
          </w:tblCellMar>
        </w:tblPrEx>
        <w:trPr>
          <w:trHeight w:val="15" w:hRule="atLeast"/>
          <w:jc w:val="center"/>
        </w:trPr>
        <w:tc>
          <w:tcPr>
            <w:tcW w:w="765"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rPr>
                <w:rFonts w:hint="eastAsia" w:ascii="Times New Roman" w:hAnsi="Times New Roman" w:cs="宋体"/>
                <w:color w:val="000000"/>
                <w:sz w:val="21"/>
                <w:szCs w:val="21"/>
              </w:rPr>
            </w:pPr>
          </w:p>
        </w:tc>
        <w:tc>
          <w:tcPr>
            <w:tcW w:w="709"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7</w:t>
            </w:r>
          </w:p>
        </w:tc>
        <w:tc>
          <w:tcPr>
            <w:tcW w:w="1843"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大肠菌群</w:t>
            </w:r>
          </w:p>
        </w:tc>
        <w:tc>
          <w:tcPr>
            <w:tcW w:w="2977"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产品明示标准要求</w:t>
            </w:r>
          </w:p>
        </w:tc>
        <w:tc>
          <w:tcPr>
            <w:tcW w:w="2054"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textAlignment w:val="center"/>
              <w:rPr>
                <w:rFonts w:ascii="Times New Roman" w:hAnsi="Times New Roman" w:cs="宋体"/>
                <w:color w:val="000000"/>
                <w:sz w:val="21"/>
                <w:szCs w:val="21"/>
                <w:lang w:bidi="ar"/>
              </w:rPr>
            </w:pPr>
            <w:r>
              <w:rPr>
                <w:rFonts w:hint="eastAsia" w:ascii="Times New Roman" w:hAnsi="Times New Roman" w:cs="宋体"/>
                <w:color w:val="000000"/>
                <w:sz w:val="21"/>
                <w:szCs w:val="21"/>
                <w:lang w:bidi="ar"/>
              </w:rPr>
              <w:t xml:space="preserve">GB 4789.3-2016 </w:t>
            </w:r>
          </w:p>
        </w:tc>
        <w:tc>
          <w:tcPr>
            <w:tcW w:w="1348"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rPr>
                <w:rFonts w:hint="eastAsia" w:ascii="Times New Roman" w:hAnsi="Times New Roman" w:cs="宋体"/>
                <w:color w:val="000000"/>
                <w:sz w:val="21"/>
                <w:szCs w:val="21"/>
                <w:lang w:bidi="ar"/>
              </w:rPr>
            </w:pPr>
          </w:p>
        </w:tc>
      </w:tr>
      <w:tr>
        <w:tblPrEx>
          <w:tblLayout w:type="fixed"/>
          <w:tblCellMar>
            <w:top w:w="15" w:type="dxa"/>
            <w:left w:w="15" w:type="dxa"/>
            <w:bottom w:w="15" w:type="dxa"/>
            <w:right w:w="15" w:type="dxa"/>
          </w:tblCellMar>
        </w:tblPrEx>
        <w:trPr>
          <w:trHeight w:val="15" w:hRule="atLeast"/>
          <w:jc w:val="center"/>
        </w:trPr>
        <w:tc>
          <w:tcPr>
            <w:tcW w:w="765"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rPr>
                <w:rFonts w:hint="eastAsia" w:ascii="Times New Roman" w:hAnsi="Times New Roman" w:cs="宋体"/>
                <w:color w:val="000000"/>
                <w:sz w:val="21"/>
                <w:szCs w:val="21"/>
              </w:rPr>
            </w:pPr>
          </w:p>
        </w:tc>
        <w:tc>
          <w:tcPr>
            <w:tcW w:w="709"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8</w:t>
            </w:r>
          </w:p>
        </w:tc>
        <w:tc>
          <w:tcPr>
            <w:tcW w:w="1843"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致病菌（沙门氏菌）</w:t>
            </w:r>
          </w:p>
        </w:tc>
        <w:tc>
          <w:tcPr>
            <w:tcW w:w="2977"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产品明示标准要求</w:t>
            </w:r>
          </w:p>
        </w:tc>
        <w:tc>
          <w:tcPr>
            <w:tcW w:w="2054"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textAlignment w:val="center"/>
              <w:rPr>
                <w:rFonts w:ascii="Times New Roman" w:hAnsi="Times New Roman" w:cs="宋体"/>
                <w:color w:val="000000"/>
                <w:sz w:val="21"/>
                <w:szCs w:val="21"/>
                <w:lang w:bidi="ar"/>
              </w:rPr>
            </w:pPr>
            <w:r>
              <w:rPr>
                <w:rFonts w:hint="eastAsia" w:ascii="Times New Roman" w:hAnsi="Times New Roman" w:cs="宋体"/>
                <w:color w:val="000000"/>
                <w:sz w:val="21"/>
                <w:szCs w:val="21"/>
                <w:lang w:bidi="ar"/>
              </w:rPr>
              <w:t xml:space="preserve">GB 4789.4-2016 </w:t>
            </w:r>
          </w:p>
        </w:tc>
        <w:tc>
          <w:tcPr>
            <w:tcW w:w="1348"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rPr>
                <w:rFonts w:hint="eastAsia" w:ascii="Times New Roman" w:hAnsi="Times New Roman" w:cs="宋体"/>
                <w:color w:val="000000"/>
                <w:sz w:val="21"/>
                <w:szCs w:val="21"/>
                <w:lang w:bidi="ar"/>
              </w:rPr>
            </w:pPr>
          </w:p>
        </w:tc>
      </w:tr>
      <w:tr>
        <w:tblPrEx>
          <w:tblLayout w:type="fixed"/>
          <w:tblCellMar>
            <w:top w:w="15" w:type="dxa"/>
            <w:left w:w="15" w:type="dxa"/>
            <w:bottom w:w="15" w:type="dxa"/>
            <w:right w:w="15" w:type="dxa"/>
          </w:tblCellMar>
        </w:tblPrEx>
        <w:trPr>
          <w:trHeight w:val="15" w:hRule="atLeast"/>
          <w:jc w:val="center"/>
        </w:trPr>
        <w:tc>
          <w:tcPr>
            <w:tcW w:w="765"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rPr>
                <w:rFonts w:hint="eastAsia" w:ascii="Times New Roman" w:hAnsi="Times New Roman" w:cs="宋体"/>
                <w:color w:val="000000"/>
                <w:sz w:val="21"/>
                <w:szCs w:val="21"/>
              </w:rPr>
            </w:pPr>
          </w:p>
        </w:tc>
        <w:tc>
          <w:tcPr>
            <w:tcW w:w="709"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9</w:t>
            </w:r>
          </w:p>
        </w:tc>
        <w:tc>
          <w:tcPr>
            <w:tcW w:w="1843"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霉菌计数</w:t>
            </w:r>
          </w:p>
        </w:tc>
        <w:tc>
          <w:tcPr>
            <w:tcW w:w="2977"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产品明示标准要求</w:t>
            </w:r>
          </w:p>
        </w:tc>
        <w:tc>
          <w:tcPr>
            <w:tcW w:w="2054"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textAlignment w:val="center"/>
              <w:rPr>
                <w:rFonts w:ascii="Times New Roman" w:hAnsi="Times New Roman" w:cs="宋体"/>
                <w:color w:val="000000"/>
                <w:sz w:val="21"/>
                <w:szCs w:val="21"/>
                <w:lang w:bidi="ar"/>
              </w:rPr>
            </w:pPr>
            <w:r>
              <w:rPr>
                <w:rFonts w:hint="eastAsia" w:ascii="Times New Roman" w:hAnsi="Times New Roman" w:cs="宋体"/>
                <w:color w:val="000000"/>
                <w:sz w:val="21"/>
                <w:szCs w:val="21"/>
                <w:lang w:bidi="ar"/>
              </w:rPr>
              <w:t xml:space="preserve">GB 4789.15-2016 </w:t>
            </w:r>
          </w:p>
        </w:tc>
        <w:tc>
          <w:tcPr>
            <w:tcW w:w="1348"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rPr>
                <w:rFonts w:hint="eastAsia" w:ascii="Times New Roman" w:hAnsi="Times New Roman" w:cs="宋体"/>
                <w:color w:val="000000"/>
                <w:sz w:val="21"/>
                <w:szCs w:val="21"/>
                <w:lang w:bidi="ar"/>
              </w:rPr>
            </w:pPr>
          </w:p>
        </w:tc>
      </w:tr>
      <w:tr>
        <w:tblPrEx>
          <w:tblLayout w:type="fixed"/>
          <w:tblCellMar>
            <w:top w:w="15" w:type="dxa"/>
            <w:left w:w="15" w:type="dxa"/>
            <w:bottom w:w="15" w:type="dxa"/>
            <w:right w:w="15" w:type="dxa"/>
          </w:tblCellMar>
        </w:tblPrEx>
        <w:trPr>
          <w:trHeight w:val="15" w:hRule="atLeast"/>
          <w:jc w:val="center"/>
        </w:trPr>
        <w:tc>
          <w:tcPr>
            <w:tcW w:w="765" w:type="dxa"/>
            <w:vMerge w:val="continue"/>
            <w:tcBorders>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rPr>
                <w:rFonts w:hint="eastAsia" w:ascii="Times New Roman" w:hAnsi="Times New Roman" w:cs="宋体"/>
                <w:color w:val="000000"/>
                <w:sz w:val="21"/>
                <w:szCs w:val="21"/>
              </w:rPr>
            </w:pPr>
          </w:p>
        </w:tc>
        <w:tc>
          <w:tcPr>
            <w:tcW w:w="709"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10</w:t>
            </w:r>
          </w:p>
        </w:tc>
        <w:tc>
          <w:tcPr>
            <w:tcW w:w="1843"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二氨基甲苯</w:t>
            </w:r>
          </w:p>
        </w:tc>
        <w:tc>
          <w:tcPr>
            <w:tcW w:w="2977"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textAlignment w:val="center"/>
              <w:rPr>
                <w:rFonts w:ascii="Times New Roman" w:hAnsi="Times New Roman" w:cs="宋体"/>
                <w:color w:val="000000"/>
                <w:sz w:val="21"/>
                <w:szCs w:val="21"/>
                <w:lang w:bidi="ar"/>
              </w:rPr>
            </w:pPr>
            <w:r>
              <w:rPr>
                <w:rFonts w:hint="eastAsia" w:ascii="Times New Roman" w:hAnsi="Times New Roman" w:cs="宋体"/>
                <w:color w:val="000000"/>
                <w:sz w:val="21"/>
                <w:szCs w:val="21"/>
                <w:lang w:bidi="ar"/>
              </w:rPr>
              <w:t>GB 9683-1988</w:t>
            </w:r>
          </w:p>
        </w:tc>
        <w:tc>
          <w:tcPr>
            <w:tcW w:w="2054"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textAlignment w:val="center"/>
              <w:rPr>
                <w:rFonts w:ascii="Times New Roman" w:hAnsi="Times New Roman" w:cs="宋体"/>
                <w:color w:val="000000"/>
                <w:sz w:val="21"/>
                <w:szCs w:val="21"/>
                <w:lang w:bidi="ar"/>
              </w:rPr>
            </w:pPr>
            <w:r>
              <w:rPr>
                <w:rFonts w:hint="eastAsia" w:ascii="Times New Roman" w:hAnsi="Times New Roman" w:cs="宋体"/>
                <w:color w:val="000000"/>
                <w:sz w:val="21"/>
                <w:szCs w:val="21"/>
                <w:lang w:bidi="ar"/>
              </w:rPr>
              <w:t>GB 31604.23-2016</w:t>
            </w:r>
          </w:p>
        </w:tc>
        <w:tc>
          <w:tcPr>
            <w:tcW w:w="1348"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rPr>
                <w:rFonts w:hint="eastAsia" w:ascii="Times New Roman" w:hAnsi="Times New Roman" w:cs="宋体"/>
                <w:color w:val="000000"/>
                <w:sz w:val="21"/>
                <w:szCs w:val="21"/>
                <w:lang w:bidi="ar"/>
              </w:rPr>
            </w:pPr>
          </w:p>
        </w:tc>
      </w:tr>
      <w:tr>
        <w:tblPrEx>
          <w:tblLayout w:type="fixed"/>
          <w:tblCellMar>
            <w:top w:w="15" w:type="dxa"/>
            <w:left w:w="15" w:type="dxa"/>
            <w:bottom w:w="15" w:type="dxa"/>
            <w:right w:w="15" w:type="dxa"/>
          </w:tblCellMar>
        </w:tblPrEx>
        <w:trPr>
          <w:trHeight w:val="15" w:hRule="atLeast"/>
          <w:jc w:val="center"/>
        </w:trPr>
        <w:tc>
          <w:tcPr>
            <w:tcW w:w="765" w:type="dxa"/>
            <w:vMerge w:val="restart"/>
            <w:tcBorders>
              <w:left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rPr>
                <w:rFonts w:hint="eastAsia" w:ascii="Times New Roman" w:hAnsi="Times New Roman" w:cs="宋体"/>
                <w:color w:val="000000"/>
                <w:sz w:val="21"/>
                <w:szCs w:val="21"/>
              </w:rPr>
            </w:pPr>
            <w:r>
              <w:rPr>
                <w:rFonts w:hint="eastAsia" w:ascii="Times New Roman" w:hAnsi="Times New Roman" w:cs="宋体"/>
                <w:color w:val="000000"/>
                <w:sz w:val="21"/>
                <w:szCs w:val="21"/>
              </w:rPr>
              <w:t>一次性塑料餐饮具</w:t>
            </w:r>
          </w:p>
        </w:tc>
        <w:tc>
          <w:tcPr>
            <w:tcW w:w="709"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textAlignment w:val="center"/>
              <w:rPr>
                <w:rFonts w:ascii="Times New Roman" w:hAnsi="Times New Roman" w:cs="宋体"/>
                <w:color w:val="000000"/>
                <w:sz w:val="21"/>
                <w:szCs w:val="21"/>
                <w:lang w:bidi="ar"/>
              </w:rPr>
            </w:pPr>
            <w:r>
              <w:rPr>
                <w:rFonts w:hint="eastAsia" w:ascii="Times New Roman" w:hAnsi="Times New Roman" w:cs="宋体"/>
                <w:color w:val="000000"/>
                <w:sz w:val="21"/>
                <w:szCs w:val="21"/>
                <w:lang w:bidi="ar"/>
              </w:rPr>
              <w:t>1</w:t>
            </w:r>
          </w:p>
        </w:tc>
        <w:tc>
          <w:tcPr>
            <w:tcW w:w="1843"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textAlignment w:val="center"/>
              <w:rPr>
                <w:rFonts w:ascii="Times New Roman" w:hAnsi="Times New Roman" w:cs="宋体"/>
                <w:color w:val="000000"/>
                <w:sz w:val="21"/>
                <w:szCs w:val="21"/>
                <w:lang w:bidi="ar"/>
              </w:rPr>
            </w:pPr>
            <w:r>
              <w:rPr>
                <w:rFonts w:hint="eastAsia" w:ascii="Times New Roman" w:hAnsi="Times New Roman" w:cs="宋体"/>
                <w:color w:val="000000"/>
                <w:sz w:val="21"/>
                <w:szCs w:val="21"/>
                <w:lang w:bidi="ar"/>
              </w:rPr>
              <w:t>高锰酸钾消耗量</w:t>
            </w:r>
          </w:p>
        </w:tc>
        <w:tc>
          <w:tcPr>
            <w:tcW w:w="2977"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textAlignment w:val="center"/>
              <w:rPr>
                <w:rFonts w:ascii="Times New Roman" w:hAnsi="Times New Roman" w:cs="宋体"/>
                <w:color w:val="000000"/>
                <w:sz w:val="21"/>
                <w:szCs w:val="21"/>
                <w:lang w:bidi="ar"/>
              </w:rPr>
            </w:pPr>
            <w:r>
              <w:rPr>
                <w:rFonts w:hint="eastAsia" w:ascii="Times New Roman" w:hAnsi="Times New Roman" w:cs="宋体"/>
                <w:color w:val="000000"/>
                <w:sz w:val="21"/>
                <w:szCs w:val="21"/>
                <w:lang w:bidi="ar"/>
              </w:rPr>
              <w:t>GB 4806.7-2016</w:t>
            </w:r>
          </w:p>
        </w:tc>
        <w:tc>
          <w:tcPr>
            <w:tcW w:w="2054"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textAlignment w:val="center"/>
              <w:rPr>
                <w:rFonts w:ascii="Times New Roman" w:hAnsi="Times New Roman" w:cs="宋体"/>
                <w:color w:val="000000"/>
                <w:sz w:val="21"/>
                <w:szCs w:val="21"/>
                <w:lang w:bidi="ar"/>
              </w:rPr>
            </w:pPr>
            <w:r>
              <w:rPr>
                <w:rFonts w:hint="eastAsia" w:ascii="Times New Roman" w:hAnsi="Times New Roman" w:cs="宋体"/>
                <w:color w:val="000000"/>
                <w:sz w:val="21"/>
                <w:szCs w:val="21"/>
                <w:lang w:bidi="ar"/>
              </w:rPr>
              <w:t>GB 31604.2-2016</w:t>
            </w:r>
          </w:p>
        </w:tc>
        <w:tc>
          <w:tcPr>
            <w:tcW w:w="1348"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rPr>
                <w:rFonts w:hint="eastAsia" w:ascii="Times New Roman" w:hAnsi="Times New Roman" w:cs="宋体"/>
                <w:color w:val="000000"/>
                <w:sz w:val="21"/>
                <w:szCs w:val="21"/>
                <w:lang w:bidi="ar"/>
              </w:rPr>
            </w:pPr>
          </w:p>
        </w:tc>
      </w:tr>
      <w:tr>
        <w:tblPrEx>
          <w:tblLayout w:type="fixed"/>
          <w:tblCellMar>
            <w:top w:w="15" w:type="dxa"/>
            <w:left w:w="15" w:type="dxa"/>
            <w:bottom w:w="15" w:type="dxa"/>
            <w:right w:w="15" w:type="dxa"/>
          </w:tblCellMar>
        </w:tblPrEx>
        <w:trPr>
          <w:trHeight w:val="15" w:hRule="atLeast"/>
          <w:jc w:val="center"/>
        </w:trPr>
        <w:tc>
          <w:tcPr>
            <w:tcW w:w="765"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rPr>
                <w:rFonts w:hint="eastAsia" w:ascii="Times New Roman" w:hAnsi="Times New Roman" w:cs="宋体"/>
                <w:color w:val="000000"/>
                <w:sz w:val="21"/>
                <w:szCs w:val="21"/>
              </w:rPr>
            </w:pPr>
          </w:p>
        </w:tc>
        <w:tc>
          <w:tcPr>
            <w:tcW w:w="709"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textAlignment w:val="center"/>
              <w:rPr>
                <w:rFonts w:ascii="Times New Roman" w:hAnsi="Times New Roman" w:cs="宋体"/>
                <w:color w:val="000000"/>
                <w:sz w:val="21"/>
                <w:szCs w:val="21"/>
                <w:lang w:bidi="ar"/>
              </w:rPr>
            </w:pPr>
            <w:r>
              <w:rPr>
                <w:rFonts w:hint="eastAsia" w:ascii="Times New Roman" w:hAnsi="Times New Roman" w:cs="宋体"/>
                <w:color w:val="000000"/>
                <w:sz w:val="21"/>
                <w:szCs w:val="21"/>
                <w:lang w:bidi="ar"/>
              </w:rPr>
              <w:t>2</w:t>
            </w:r>
          </w:p>
        </w:tc>
        <w:tc>
          <w:tcPr>
            <w:tcW w:w="1843"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textAlignment w:val="center"/>
              <w:rPr>
                <w:rFonts w:ascii="Times New Roman" w:hAnsi="Times New Roman" w:cs="宋体"/>
                <w:color w:val="000000"/>
                <w:sz w:val="21"/>
                <w:szCs w:val="21"/>
                <w:lang w:bidi="ar"/>
              </w:rPr>
            </w:pPr>
            <w:r>
              <w:rPr>
                <w:rFonts w:hint="eastAsia" w:ascii="Times New Roman" w:hAnsi="Times New Roman" w:cs="宋体"/>
                <w:color w:val="000000"/>
                <w:sz w:val="21"/>
                <w:szCs w:val="21"/>
                <w:lang w:bidi="ar"/>
              </w:rPr>
              <w:t>总迁移量</w:t>
            </w:r>
          </w:p>
        </w:tc>
        <w:tc>
          <w:tcPr>
            <w:tcW w:w="2977"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textAlignment w:val="center"/>
              <w:rPr>
                <w:rFonts w:ascii="Times New Roman" w:hAnsi="Times New Roman" w:cs="宋体"/>
                <w:color w:val="000000"/>
                <w:sz w:val="21"/>
                <w:szCs w:val="21"/>
                <w:lang w:bidi="ar"/>
              </w:rPr>
            </w:pPr>
            <w:r>
              <w:rPr>
                <w:rFonts w:hint="eastAsia" w:ascii="Times New Roman" w:hAnsi="Times New Roman" w:cs="宋体"/>
                <w:color w:val="000000"/>
                <w:sz w:val="21"/>
                <w:szCs w:val="21"/>
                <w:lang w:bidi="ar"/>
              </w:rPr>
              <w:t>GB 4806.7-2016</w:t>
            </w:r>
          </w:p>
        </w:tc>
        <w:tc>
          <w:tcPr>
            <w:tcW w:w="2054"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textAlignment w:val="center"/>
              <w:rPr>
                <w:rFonts w:ascii="Times New Roman" w:hAnsi="Times New Roman" w:cs="宋体"/>
                <w:color w:val="000000"/>
                <w:sz w:val="21"/>
                <w:szCs w:val="21"/>
                <w:lang w:bidi="ar"/>
              </w:rPr>
            </w:pPr>
            <w:r>
              <w:rPr>
                <w:rFonts w:hint="eastAsia" w:ascii="Times New Roman" w:hAnsi="Times New Roman" w:cs="宋体"/>
                <w:color w:val="000000"/>
                <w:sz w:val="21"/>
                <w:szCs w:val="21"/>
                <w:lang w:bidi="ar"/>
              </w:rPr>
              <w:t>GB 31604.8-2021</w:t>
            </w:r>
          </w:p>
        </w:tc>
        <w:tc>
          <w:tcPr>
            <w:tcW w:w="1348"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rPr>
                <w:rFonts w:hint="eastAsia" w:ascii="Times New Roman" w:hAnsi="Times New Roman" w:cs="宋体"/>
                <w:color w:val="000000"/>
                <w:sz w:val="21"/>
                <w:szCs w:val="21"/>
                <w:lang w:bidi="ar"/>
              </w:rPr>
            </w:pPr>
          </w:p>
        </w:tc>
      </w:tr>
      <w:tr>
        <w:tblPrEx>
          <w:tblLayout w:type="fixed"/>
          <w:tblCellMar>
            <w:top w:w="15" w:type="dxa"/>
            <w:left w:w="15" w:type="dxa"/>
            <w:bottom w:w="15" w:type="dxa"/>
            <w:right w:w="15" w:type="dxa"/>
          </w:tblCellMar>
        </w:tblPrEx>
        <w:trPr>
          <w:trHeight w:val="15" w:hRule="atLeast"/>
          <w:jc w:val="center"/>
        </w:trPr>
        <w:tc>
          <w:tcPr>
            <w:tcW w:w="765"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rPr>
                <w:rFonts w:hint="eastAsia" w:ascii="Times New Roman" w:hAnsi="Times New Roman" w:cs="宋体"/>
                <w:color w:val="000000"/>
                <w:sz w:val="21"/>
                <w:szCs w:val="21"/>
              </w:rPr>
            </w:pPr>
          </w:p>
        </w:tc>
        <w:tc>
          <w:tcPr>
            <w:tcW w:w="709"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textAlignment w:val="center"/>
              <w:rPr>
                <w:rFonts w:ascii="Times New Roman" w:hAnsi="Times New Roman" w:cs="宋体"/>
                <w:color w:val="000000"/>
                <w:sz w:val="21"/>
                <w:szCs w:val="21"/>
                <w:lang w:bidi="ar"/>
              </w:rPr>
            </w:pPr>
            <w:r>
              <w:rPr>
                <w:rFonts w:hint="eastAsia" w:ascii="Times New Roman" w:hAnsi="Times New Roman" w:cs="宋体"/>
                <w:color w:val="000000"/>
                <w:sz w:val="21"/>
                <w:szCs w:val="21"/>
                <w:lang w:bidi="ar"/>
              </w:rPr>
              <w:t>3</w:t>
            </w:r>
          </w:p>
        </w:tc>
        <w:tc>
          <w:tcPr>
            <w:tcW w:w="1843"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textAlignment w:val="center"/>
              <w:rPr>
                <w:rFonts w:ascii="Times New Roman" w:hAnsi="Times New Roman" w:cs="宋体"/>
                <w:color w:val="000000"/>
                <w:sz w:val="21"/>
                <w:szCs w:val="21"/>
                <w:lang w:bidi="ar"/>
              </w:rPr>
            </w:pPr>
            <w:r>
              <w:rPr>
                <w:rFonts w:hint="eastAsia" w:ascii="Times New Roman" w:hAnsi="Times New Roman" w:cs="宋体"/>
                <w:color w:val="000000"/>
                <w:sz w:val="21"/>
                <w:szCs w:val="21"/>
                <w:lang w:bidi="ar"/>
              </w:rPr>
              <w:t>重金属</w:t>
            </w:r>
          </w:p>
        </w:tc>
        <w:tc>
          <w:tcPr>
            <w:tcW w:w="2977"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textAlignment w:val="center"/>
              <w:rPr>
                <w:rFonts w:ascii="Times New Roman" w:hAnsi="Times New Roman" w:cs="宋体"/>
                <w:color w:val="000000"/>
                <w:sz w:val="21"/>
                <w:szCs w:val="21"/>
                <w:lang w:bidi="ar"/>
              </w:rPr>
            </w:pPr>
            <w:r>
              <w:rPr>
                <w:rFonts w:hint="eastAsia" w:ascii="Times New Roman" w:hAnsi="Times New Roman" w:cs="宋体"/>
                <w:color w:val="000000"/>
                <w:sz w:val="21"/>
                <w:szCs w:val="21"/>
                <w:lang w:bidi="ar"/>
              </w:rPr>
              <w:t>GB 4806.7-2016</w:t>
            </w:r>
          </w:p>
        </w:tc>
        <w:tc>
          <w:tcPr>
            <w:tcW w:w="2054"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textAlignment w:val="center"/>
              <w:rPr>
                <w:rFonts w:ascii="Times New Roman" w:hAnsi="Times New Roman" w:cs="宋体"/>
                <w:color w:val="000000"/>
                <w:sz w:val="21"/>
                <w:szCs w:val="21"/>
                <w:lang w:bidi="ar"/>
              </w:rPr>
            </w:pPr>
            <w:r>
              <w:rPr>
                <w:rFonts w:hint="eastAsia" w:ascii="Times New Roman" w:hAnsi="Times New Roman" w:cs="宋体"/>
                <w:color w:val="000000"/>
                <w:sz w:val="21"/>
                <w:szCs w:val="21"/>
                <w:lang w:bidi="ar"/>
              </w:rPr>
              <w:t>GB 31604.9-2016</w:t>
            </w:r>
          </w:p>
        </w:tc>
        <w:tc>
          <w:tcPr>
            <w:tcW w:w="1348"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rPr>
                <w:rFonts w:hint="eastAsia" w:ascii="Times New Roman" w:hAnsi="Times New Roman" w:cs="宋体"/>
                <w:color w:val="000000"/>
                <w:sz w:val="21"/>
                <w:szCs w:val="21"/>
                <w:lang w:bidi="ar"/>
              </w:rPr>
            </w:pPr>
          </w:p>
        </w:tc>
      </w:tr>
      <w:tr>
        <w:tblPrEx>
          <w:tblLayout w:type="fixed"/>
          <w:tblCellMar>
            <w:top w:w="15" w:type="dxa"/>
            <w:left w:w="15" w:type="dxa"/>
            <w:bottom w:w="15" w:type="dxa"/>
            <w:right w:w="15" w:type="dxa"/>
          </w:tblCellMar>
        </w:tblPrEx>
        <w:trPr>
          <w:trHeight w:val="15" w:hRule="atLeast"/>
          <w:jc w:val="center"/>
        </w:trPr>
        <w:tc>
          <w:tcPr>
            <w:tcW w:w="765"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rPr>
                <w:rFonts w:hint="eastAsia" w:ascii="Times New Roman" w:hAnsi="Times New Roman" w:cs="宋体"/>
                <w:color w:val="000000"/>
                <w:sz w:val="21"/>
                <w:szCs w:val="21"/>
              </w:rPr>
            </w:pPr>
          </w:p>
        </w:tc>
        <w:tc>
          <w:tcPr>
            <w:tcW w:w="709"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textAlignment w:val="center"/>
              <w:rPr>
                <w:rFonts w:ascii="Times New Roman" w:hAnsi="Times New Roman" w:cs="宋体"/>
                <w:color w:val="000000"/>
                <w:sz w:val="21"/>
                <w:szCs w:val="21"/>
                <w:lang w:bidi="ar"/>
              </w:rPr>
            </w:pPr>
            <w:r>
              <w:rPr>
                <w:rFonts w:hint="eastAsia" w:ascii="Times New Roman" w:hAnsi="Times New Roman" w:cs="宋体"/>
                <w:color w:val="000000"/>
                <w:sz w:val="21"/>
                <w:szCs w:val="21"/>
                <w:lang w:bidi="ar"/>
              </w:rPr>
              <w:t>4</w:t>
            </w:r>
          </w:p>
        </w:tc>
        <w:tc>
          <w:tcPr>
            <w:tcW w:w="1843"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脱色试验</w:t>
            </w:r>
          </w:p>
        </w:tc>
        <w:tc>
          <w:tcPr>
            <w:tcW w:w="2977"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textAlignment w:val="center"/>
              <w:rPr>
                <w:rFonts w:ascii="Times New Roman" w:hAnsi="Times New Roman" w:cs="宋体"/>
                <w:color w:val="000000"/>
                <w:sz w:val="21"/>
                <w:szCs w:val="21"/>
                <w:lang w:bidi="ar"/>
              </w:rPr>
            </w:pPr>
            <w:r>
              <w:rPr>
                <w:rFonts w:hint="eastAsia" w:ascii="Times New Roman" w:hAnsi="Times New Roman" w:cs="宋体"/>
                <w:color w:val="000000"/>
                <w:sz w:val="21"/>
                <w:szCs w:val="21"/>
                <w:lang w:bidi="ar"/>
              </w:rPr>
              <w:t>GB 4806.7-2016</w:t>
            </w:r>
          </w:p>
        </w:tc>
        <w:tc>
          <w:tcPr>
            <w:tcW w:w="2054"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textAlignment w:val="center"/>
              <w:rPr>
                <w:rFonts w:ascii="Times New Roman" w:hAnsi="Times New Roman" w:cs="宋体"/>
                <w:color w:val="000000"/>
                <w:sz w:val="21"/>
                <w:szCs w:val="21"/>
                <w:lang w:bidi="ar"/>
              </w:rPr>
            </w:pPr>
            <w:r>
              <w:rPr>
                <w:rFonts w:hint="eastAsia" w:ascii="Times New Roman" w:hAnsi="Times New Roman" w:cs="宋体"/>
                <w:color w:val="000000"/>
                <w:sz w:val="21"/>
                <w:szCs w:val="21"/>
                <w:lang w:bidi="ar"/>
              </w:rPr>
              <w:t>GB 31604.7-2016</w:t>
            </w:r>
          </w:p>
        </w:tc>
        <w:tc>
          <w:tcPr>
            <w:tcW w:w="1348"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仅适用添加了着色剂的产品</w:t>
            </w:r>
          </w:p>
        </w:tc>
      </w:tr>
      <w:tr>
        <w:tblPrEx>
          <w:tblLayout w:type="fixed"/>
          <w:tblCellMar>
            <w:top w:w="15" w:type="dxa"/>
            <w:left w:w="15" w:type="dxa"/>
            <w:bottom w:w="15" w:type="dxa"/>
            <w:right w:w="15" w:type="dxa"/>
          </w:tblCellMar>
        </w:tblPrEx>
        <w:trPr>
          <w:trHeight w:val="15" w:hRule="atLeast"/>
          <w:jc w:val="center"/>
        </w:trPr>
        <w:tc>
          <w:tcPr>
            <w:tcW w:w="765"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rPr>
                <w:rFonts w:hint="eastAsia" w:ascii="Times New Roman" w:hAnsi="Times New Roman" w:cs="宋体"/>
                <w:color w:val="000000"/>
                <w:sz w:val="21"/>
                <w:szCs w:val="21"/>
              </w:rPr>
            </w:pPr>
          </w:p>
        </w:tc>
        <w:tc>
          <w:tcPr>
            <w:tcW w:w="709"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5</w:t>
            </w:r>
          </w:p>
        </w:tc>
        <w:tc>
          <w:tcPr>
            <w:tcW w:w="1843"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氯乙烯</w:t>
            </w:r>
          </w:p>
        </w:tc>
        <w:tc>
          <w:tcPr>
            <w:tcW w:w="2977"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GB 4806.6-2016</w:t>
            </w:r>
          </w:p>
        </w:tc>
        <w:tc>
          <w:tcPr>
            <w:tcW w:w="2054"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 xml:space="preserve">GB 31604.31-2016 </w:t>
            </w:r>
          </w:p>
        </w:tc>
        <w:tc>
          <w:tcPr>
            <w:tcW w:w="1348"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限PVC材质</w:t>
            </w:r>
          </w:p>
        </w:tc>
      </w:tr>
      <w:tr>
        <w:tblPrEx>
          <w:tblLayout w:type="fixed"/>
          <w:tblCellMar>
            <w:top w:w="15" w:type="dxa"/>
            <w:left w:w="15" w:type="dxa"/>
            <w:bottom w:w="15" w:type="dxa"/>
            <w:right w:w="15" w:type="dxa"/>
          </w:tblCellMar>
        </w:tblPrEx>
        <w:trPr>
          <w:trHeight w:val="15" w:hRule="atLeast"/>
          <w:jc w:val="center"/>
        </w:trPr>
        <w:tc>
          <w:tcPr>
            <w:tcW w:w="765"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rPr>
                <w:rFonts w:hint="eastAsia" w:ascii="Times New Roman" w:hAnsi="Times New Roman" w:cs="宋体"/>
                <w:color w:val="000000"/>
                <w:sz w:val="21"/>
                <w:szCs w:val="21"/>
              </w:rPr>
            </w:pPr>
          </w:p>
        </w:tc>
        <w:tc>
          <w:tcPr>
            <w:tcW w:w="709"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6</w:t>
            </w:r>
          </w:p>
        </w:tc>
        <w:tc>
          <w:tcPr>
            <w:tcW w:w="1843"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锑（以Sb计）</w:t>
            </w:r>
          </w:p>
        </w:tc>
        <w:tc>
          <w:tcPr>
            <w:tcW w:w="2977"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GB 4806.6-2016</w:t>
            </w:r>
          </w:p>
        </w:tc>
        <w:tc>
          <w:tcPr>
            <w:tcW w:w="2054"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 xml:space="preserve">GB 31604.41-2016 </w:t>
            </w:r>
          </w:p>
        </w:tc>
        <w:tc>
          <w:tcPr>
            <w:tcW w:w="1348"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限PET材质</w:t>
            </w:r>
          </w:p>
        </w:tc>
      </w:tr>
      <w:tr>
        <w:tblPrEx>
          <w:tblLayout w:type="fixed"/>
          <w:tblCellMar>
            <w:top w:w="15" w:type="dxa"/>
            <w:left w:w="15" w:type="dxa"/>
            <w:bottom w:w="15" w:type="dxa"/>
            <w:right w:w="15" w:type="dxa"/>
          </w:tblCellMar>
        </w:tblPrEx>
        <w:trPr>
          <w:trHeight w:val="15" w:hRule="atLeast"/>
          <w:jc w:val="center"/>
        </w:trPr>
        <w:tc>
          <w:tcPr>
            <w:tcW w:w="765"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rPr>
                <w:rFonts w:hint="eastAsia" w:ascii="Times New Roman" w:hAnsi="Times New Roman" w:cs="宋体"/>
                <w:color w:val="000000"/>
                <w:sz w:val="21"/>
                <w:szCs w:val="21"/>
              </w:rPr>
            </w:pPr>
          </w:p>
        </w:tc>
        <w:tc>
          <w:tcPr>
            <w:tcW w:w="709"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7</w:t>
            </w:r>
          </w:p>
        </w:tc>
        <w:tc>
          <w:tcPr>
            <w:tcW w:w="1843"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己内酰胺</w:t>
            </w:r>
          </w:p>
        </w:tc>
        <w:tc>
          <w:tcPr>
            <w:tcW w:w="2977"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GB 4806.6-2016</w:t>
            </w:r>
          </w:p>
        </w:tc>
        <w:tc>
          <w:tcPr>
            <w:tcW w:w="2054"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GB 31604.19-2016</w:t>
            </w:r>
          </w:p>
        </w:tc>
        <w:tc>
          <w:tcPr>
            <w:tcW w:w="1348"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限PA材质</w:t>
            </w:r>
          </w:p>
        </w:tc>
      </w:tr>
      <w:tr>
        <w:tblPrEx>
          <w:tblLayout w:type="fixed"/>
          <w:tblCellMar>
            <w:top w:w="15" w:type="dxa"/>
            <w:left w:w="15" w:type="dxa"/>
            <w:bottom w:w="15" w:type="dxa"/>
            <w:right w:w="15" w:type="dxa"/>
          </w:tblCellMar>
        </w:tblPrEx>
        <w:trPr>
          <w:trHeight w:val="15" w:hRule="atLeast"/>
          <w:jc w:val="center"/>
        </w:trPr>
        <w:tc>
          <w:tcPr>
            <w:tcW w:w="765"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rPr>
                <w:rFonts w:hint="eastAsia" w:ascii="Times New Roman" w:hAnsi="Times New Roman" w:cs="宋体"/>
                <w:color w:val="000000"/>
                <w:sz w:val="21"/>
                <w:szCs w:val="21"/>
              </w:rPr>
            </w:pPr>
          </w:p>
        </w:tc>
        <w:tc>
          <w:tcPr>
            <w:tcW w:w="709"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8</w:t>
            </w:r>
          </w:p>
        </w:tc>
        <w:tc>
          <w:tcPr>
            <w:tcW w:w="1843"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游离酚（蒸馏水）</w:t>
            </w:r>
          </w:p>
        </w:tc>
        <w:tc>
          <w:tcPr>
            <w:tcW w:w="2977"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GB 4806.6-2016</w:t>
            </w:r>
          </w:p>
        </w:tc>
        <w:tc>
          <w:tcPr>
            <w:tcW w:w="2054"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 xml:space="preserve">GB 31604.46-2016 </w:t>
            </w:r>
          </w:p>
        </w:tc>
        <w:tc>
          <w:tcPr>
            <w:tcW w:w="1348"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限PC材质</w:t>
            </w:r>
          </w:p>
        </w:tc>
      </w:tr>
      <w:tr>
        <w:tblPrEx>
          <w:tblLayout w:type="fixed"/>
          <w:tblCellMar>
            <w:top w:w="15" w:type="dxa"/>
            <w:left w:w="15" w:type="dxa"/>
            <w:bottom w:w="15" w:type="dxa"/>
            <w:right w:w="15" w:type="dxa"/>
          </w:tblCellMar>
        </w:tblPrEx>
        <w:trPr>
          <w:trHeight w:val="15" w:hRule="atLeast"/>
          <w:jc w:val="center"/>
        </w:trPr>
        <w:tc>
          <w:tcPr>
            <w:tcW w:w="765"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rPr>
                <w:rFonts w:hint="eastAsia" w:ascii="Times New Roman" w:hAnsi="Times New Roman" w:cs="宋体"/>
                <w:color w:val="000000"/>
                <w:sz w:val="21"/>
                <w:szCs w:val="21"/>
              </w:rPr>
            </w:pPr>
          </w:p>
        </w:tc>
        <w:tc>
          <w:tcPr>
            <w:tcW w:w="709"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9</w:t>
            </w:r>
          </w:p>
        </w:tc>
        <w:tc>
          <w:tcPr>
            <w:tcW w:w="1843"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大肠菌群</w:t>
            </w:r>
          </w:p>
        </w:tc>
        <w:tc>
          <w:tcPr>
            <w:tcW w:w="2977"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rPr>
                <w:rFonts w:ascii="Times New Roman" w:hAnsi="Times New Roman" w:cs="宋体"/>
                <w:color w:val="000000"/>
                <w:sz w:val="21"/>
                <w:szCs w:val="21"/>
                <w:lang w:bidi="ar"/>
              </w:rPr>
            </w:pPr>
            <w:r>
              <w:rPr>
                <w:rFonts w:hint="eastAsia" w:ascii="Times New Roman" w:hAnsi="Times New Roman" w:cs="宋体"/>
                <w:color w:val="000000"/>
                <w:sz w:val="21"/>
                <w:szCs w:val="21"/>
                <w:lang w:bidi="ar"/>
              </w:rPr>
              <w:t>产品明示标准要求</w:t>
            </w:r>
          </w:p>
        </w:tc>
        <w:tc>
          <w:tcPr>
            <w:tcW w:w="2054"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rPr>
                <w:rFonts w:ascii="Times New Roman" w:hAnsi="Times New Roman" w:cs="宋体"/>
                <w:color w:val="000000"/>
                <w:sz w:val="21"/>
                <w:szCs w:val="21"/>
                <w:lang w:bidi="ar"/>
              </w:rPr>
            </w:pPr>
            <w:r>
              <w:rPr>
                <w:rFonts w:hint="eastAsia" w:ascii="Times New Roman" w:hAnsi="Times New Roman" w:cs="宋体"/>
                <w:color w:val="000000"/>
                <w:sz w:val="21"/>
                <w:szCs w:val="21"/>
                <w:lang w:bidi="ar"/>
              </w:rPr>
              <w:t>GB 14934-2016</w:t>
            </w:r>
          </w:p>
        </w:tc>
        <w:tc>
          <w:tcPr>
            <w:tcW w:w="1348" w:type="dxa"/>
            <w:vMerge w:val="restart"/>
            <w:tcBorders>
              <w:top w:val="single" w:color="auto" w:sz="4" w:space="0"/>
              <w:left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产品明示标准有要求时</w:t>
            </w:r>
          </w:p>
        </w:tc>
      </w:tr>
      <w:tr>
        <w:tblPrEx>
          <w:tblLayout w:type="fixed"/>
          <w:tblCellMar>
            <w:top w:w="15" w:type="dxa"/>
            <w:left w:w="15" w:type="dxa"/>
            <w:bottom w:w="15" w:type="dxa"/>
            <w:right w:w="15" w:type="dxa"/>
          </w:tblCellMar>
        </w:tblPrEx>
        <w:trPr>
          <w:trHeight w:val="15" w:hRule="atLeast"/>
          <w:jc w:val="center"/>
        </w:trPr>
        <w:tc>
          <w:tcPr>
            <w:tcW w:w="765"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rPr>
                <w:rFonts w:hint="eastAsia" w:ascii="Times New Roman" w:hAnsi="Times New Roman" w:cs="宋体"/>
                <w:color w:val="000000"/>
                <w:sz w:val="21"/>
                <w:szCs w:val="21"/>
              </w:rPr>
            </w:pPr>
          </w:p>
        </w:tc>
        <w:tc>
          <w:tcPr>
            <w:tcW w:w="709"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10</w:t>
            </w:r>
          </w:p>
        </w:tc>
        <w:tc>
          <w:tcPr>
            <w:tcW w:w="1843"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致病菌（沙门氏菌）</w:t>
            </w:r>
          </w:p>
        </w:tc>
        <w:tc>
          <w:tcPr>
            <w:tcW w:w="2977"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rPr>
                <w:rFonts w:ascii="Times New Roman" w:hAnsi="Times New Roman" w:cs="宋体"/>
                <w:color w:val="000000"/>
                <w:sz w:val="21"/>
                <w:szCs w:val="21"/>
                <w:lang w:bidi="ar"/>
              </w:rPr>
            </w:pPr>
            <w:r>
              <w:rPr>
                <w:rFonts w:hint="eastAsia" w:ascii="Times New Roman" w:hAnsi="Times New Roman" w:cs="宋体"/>
                <w:color w:val="000000"/>
                <w:sz w:val="21"/>
                <w:szCs w:val="21"/>
                <w:lang w:bidi="ar"/>
              </w:rPr>
              <w:t>产品明示标准要求</w:t>
            </w:r>
          </w:p>
        </w:tc>
        <w:tc>
          <w:tcPr>
            <w:tcW w:w="2054"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rPr>
                <w:rFonts w:ascii="Times New Roman" w:hAnsi="Times New Roman" w:cs="宋体"/>
                <w:color w:val="000000"/>
                <w:sz w:val="21"/>
                <w:szCs w:val="21"/>
                <w:lang w:bidi="ar"/>
              </w:rPr>
            </w:pPr>
            <w:r>
              <w:rPr>
                <w:rFonts w:hint="eastAsia" w:ascii="Times New Roman" w:hAnsi="Times New Roman" w:cs="宋体"/>
                <w:color w:val="000000"/>
                <w:sz w:val="21"/>
                <w:szCs w:val="21"/>
                <w:lang w:bidi="ar"/>
              </w:rPr>
              <w:t>GB 14934-2016</w:t>
            </w:r>
          </w:p>
        </w:tc>
        <w:tc>
          <w:tcPr>
            <w:tcW w:w="1348"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rPr>
                <w:rFonts w:hint="eastAsia" w:ascii="Times New Roman" w:hAnsi="Times New Roman" w:cs="宋体"/>
                <w:color w:val="000000"/>
                <w:sz w:val="21"/>
                <w:szCs w:val="21"/>
                <w:lang w:bidi="ar"/>
              </w:rPr>
            </w:pPr>
          </w:p>
        </w:tc>
      </w:tr>
      <w:tr>
        <w:tblPrEx>
          <w:tblLayout w:type="fixed"/>
          <w:tblCellMar>
            <w:top w:w="15" w:type="dxa"/>
            <w:left w:w="15" w:type="dxa"/>
            <w:bottom w:w="15" w:type="dxa"/>
            <w:right w:w="15" w:type="dxa"/>
          </w:tblCellMar>
        </w:tblPrEx>
        <w:trPr>
          <w:trHeight w:val="15" w:hRule="atLeast"/>
          <w:jc w:val="center"/>
        </w:trPr>
        <w:tc>
          <w:tcPr>
            <w:tcW w:w="765" w:type="dxa"/>
            <w:vMerge w:val="continue"/>
            <w:tcBorders>
              <w:left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rPr>
                <w:rFonts w:hint="eastAsia" w:ascii="Times New Roman" w:hAnsi="Times New Roman" w:cs="宋体"/>
                <w:color w:val="000000"/>
                <w:sz w:val="21"/>
                <w:szCs w:val="21"/>
              </w:rPr>
            </w:pPr>
          </w:p>
        </w:tc>
        <w:tc>
          <w:tcPr>
            <w:tcW w:w="709"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11</w:t>
            </w:r>
          </w:p>
        </w:tc>
        <w:tc>
          <w:tcPr>
            <w:tcW w:w="1843"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霉菌计数</w:t>
            </w:r>
          </w:p>
        </w:tc>
        <w:tc>
          <w:tcPr>
            <w:tcW w:w="2977"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产品明示标准要求</w:t>
            </w:r>
          </w:p>
        </w:tc>
        <w:tc>
          <w:tcPr>
            <w:tcW w:w="2054"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rPr>
                <w:rFonts w:ascii="Times New Roman" w:hAnsi="Times New Roman" w:cs="宋体"/>
                <w:color w:val="000000"/>
                <w:sz w:val="21"/>
                <w:szCs w:val="21"/>
                <w:lang w:bidi="ar"/>
              </w:rPr>
            </w:pPr>
            <w:r>
              <w:rPr>
                <w:rFonts w:hint="eastAsia" w:ascii="Times New Roman" w:hAnsi="Times New Roman" w:cs="宋体"/>
                <w:color w:val="000000"/>
                <w:sz w:val="21"/>
                <w:szCs w:val="21"/>
                <w:lang w:bidi="ar"/>
              </w:rPr>
              <w:t>GB 4789.15-2016</w:t>
            </w:r>
          </w:p>
        </w:tc>
        <w:tc>
          <w:tcPr>
            <w:tcW w:w="1348" w:type="dxa"/>
            <w:vMerge w:val="continue"/>
            <w:tcBorders>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rPr>
                <w:rFonts w:hint="eastAsia" w:ascii="Times New Roman" w:hAnsi="Times New Roman" w:cs="宋体"/>
                <w:color w:val="000000"/>
                <w:sz w:val="21"/>
                <w:szCs w:val="21"/>
                <w:lang w:bidi="ar"/>
              </w:rPr>
            </w:pPr>
          </w:p>
        </w:tc>
      </w:tr>
      <w:tr>
        <w:tblPrEx>
          <w:tblLayout w:type="fixed"/>
          <w:tblCellMar>
            <w:top w:w="15" w:type="dxa"/>
            <w:left w:w="15" w:type="dxa"/>
            <w:bottom w:w="15" w:type="dxa"/>
            <w:right w:w="15" w:type="dxa"/>
          </w:tblCellMar>
        </w:tblPrEx>
        <w:trPr>
          <w:trHeight w:val="15" w:hRule="atLeast"/>
          <w:jc w:val="center"/>
        </w:trPr>
        <w:tc>
          <w:tcPr>
            <w:tcW w:w="765" w:type="dxa"/>
            <w:vMerge w:val="continue"/>
            <w:tcBorders>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rPr>
                <w:rFonts w:hint="eastAsia" w:ascii="Times New Roman" w:hAnsi="Times New Roman" w:cs="宋体"/>
                <w:color w:val="000000"/>
                <w:sz w:val="21"/>
                <w:szCs w:val="21"/>
              </w:rPr>
            </w:pPr>
          </w:p>
        </w:tc>
        <w:tc>
          <w:tcPr>
            <w:tcW w:w="709"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12</w:t>
            </w:r>
          </w:p>
        </w:tc>
        <w:tc>
          <w:tcPr>
            <w:tcW w:w="1843"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center"/>
              <w:textAlignment w:val="center"/>
              <w:rPr>
                <w:rFonts w:hint="eastAsia" w:ascii="Times New Roman" w:hAnsi="Times New Roman" w:cs="宋体"/>
                <w:color w:val="000000"/>
                <w:sz w:val="21"/>
                <w:szCs w:val="21"/>
                <w:lang w:bidi="ar"/>
              </w:rPr>
            </w:pPr>
            <w:r>
              <w:rPr>
                <w:rFonts w:hint="eastAsia" w:ascii="Times New Roman" w:hAnsi="Times New Roman" w:cs="宋体"/>
                <w:color w:val="000000"/>
                <w:sz w:val="21"/>
                <w:szCs w:val="21"/>
                <w:lang w:bidi="ar"/>
              </w:rPr>
              <w:t>感官要求</w:t>
            </w:r>
          </w:p>
        </w:tc>
        <w:tc>
          <w:tcPr>
            <w:tcW w:w="2977"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rPr>
                <w:rFonts w:ascii="Times New Roman" w:hAnsi="Times New Roman" w:cs="宋体"/>
                <w:color w:val="000000"/>
                <w:sz w:val="21"/>
                <w:szCs w:val="21"/>
                <w:lang w:bidi="ar"/>
              </w:rPr>
            </w:pPr>
            <w:r>
              <w:rPr>
                <w:rFonts w:hint="eastAsia" w:ascii="Times New Roman" w:hAnsi="Times New Roman" w:cs="宋体"/>
                <w:color w:val="000000"/>
                <w:sz w:val="21"/>
                <w:szCs w:val="21"/>
                <w:lang w:bidi="ar"/>
              </w:rPr>
              <w:t>GB 4806.7-2016</w:t>
            </w:r>
          </w:p>
        </w:tc>
        <w:tc>
          <w:tcPr>
            <w:tcW w:w="2054"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rPr>
                <w:rFonts w:ascii="Times New Roman" w:hAnsi="Times New Roman" w:cs="宋体"/>
                <w:color w:val="000000"/>
                <w:sz w:val="21"/>
                <w:szCs w:val="21"/>
                <w:lang w:bidi="ar"/>
              </w:rPr>
            </w:pPr>
            <w:r>
              <w:rPr>
                <w:rFonts w:hint="eastAsia" w:ascii="Times New Roman" w:hAnsi="Times New Roman" w:cs="宋体"/>
                <w:color w:val="000000"/>
                <w:sz w:val="21"/>
                <w:szCs w:val="21"/>
                <w:lang w:bidi="ar"/>
              </w:rPr>
              <w:t>GB 4806.7-2016</w:t>
            </w:r>
          </w:p>
        </w:tc>
        <w:tc>
          <w:tcPr>
            <w:tcW w:w="1348"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bidi w:val="0"/>
              <w:spacing w:line="280" w:lineRule="exact"/>
              <w:jc w:val="both"/>
              <w:rPr>
                <w:rFonts w:hint="eastAsia" w:ascii="Times New Roman" w:hAnsi="Times New Roman" w:cs="宋体"/>
                <w:color w:val="000000"/>
                <w:sz w:val="21"/>
                <w:szCs w:val="21"/>
                <w:lang w:bidi="ar"/>
              </w:rPr>
            </w:pPr>
          </w:p>
        </w:tc>
      </w:tr>
    </w:tbl>
    <w:p>
      <w:pPr>
        <w:keepNext w:val="0"/>
        <w:keepLines w:val="0"/>
        <w:pageBreakBefore w:val="0"/>
        <w:widowControl w:val="0"/>
        <w:kinsoku/>
        <w:wordWrap/>
        <w:overflowPunct/>
        <w:topLinePunct w:val="0"/>
        <w:bidi w:val="0"/>
        <w:spacing w:line="280" w:lineRule="exact"/>
        <w:ind w:left="0" w:firstLine="420" w:firstLineChars="200"/>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21"/>
          <w:szCs w:val="21"/>
        </w:rPr>
        <w:t>检验应注意的问题：</w:t>
      </w:r>
    </w:p>
    <w:p>
      <w:pPr>
        <w:keepNext w:val="0"/>
        <w:keepLines w:val="0"/>
        <w:pageBreakBefore w:val="0"/>
        <w:widowControl w:val="0"/>
        <w:kinsoku/>
        <w:wordWrap/>
        <w:overflowPunct/>
        <w:topLinePunct w:val="0"/>
        <w:bidi w:val="0"/>
        <w:snapToGrid/>
        <w:spacing w:line="600" w:lineRule="exact"/>
        <w:ind w:left="0" w:leftChars="0" w:right="0" w:firstLine="640" w:firstLineChars="200"/>
        <w:textAlignment w:val="auto"/>
        <w:rPr>
          <w:rFonts w:hint="eastAsia" w:ascii="Times New Roman" w:hAnsi="Times New Roman" w:eastAsia="仿宋_GB2312" w:cs="仿宋_GB2312"/>
          <w:kern w:val="2"/>
          <w:sz w:val="32"/>
          <w:szCs w:val="32"/>
        </w:rPr>
      </w:pPr>
      <w:r>
        <w:rPr>
          <w:rFonts w:hint="eastAsia" w:ascii="Times New Roman" w:hAnsi="Times New Roman" w:eastAsia="仿宋" w:cs="仿宋"/>
          <w:kern w:val="2"/>
          <w:sz w:val="32"/>
          <w:szCs w:val="32"/>
        </w:rPr>
        <w:t>①</w:t>
      </w:r>
      <w:r>
        <w:rPr>
          <w:rFonts w:hint="eastAsia" w:ascii="Times New Roman" w:hAnsi="Times New Roman" w:eastAsia="仿宋_GB2312" w:cs="仿宋_GB2312"/>
          <w:kern w:val="2"/>
          <w:sz w:val="32"/>
          <w:szCs w:val="32"/>
        </w:rPr>
        <w:t>被检产品明示的质量要求高于本</w:t>
      </w:r>
      <w:r>
        <w:rPr>
          <w:rFonts w:hint="eastAsia" w:ascii="Times New Roman" w:hAnsi="Times New Roman" w:eastAsia="仿宋_GB2312" w:cs="仿宋_GB2312"/>
          <w:kern w:val="2"/>
          <w:sz w:val="32"/>
          <w:szCs w:val="32"/>
          <w:lang w:eastAsia="zh-CN"/>
        </w:rPr>
        <w:t>细则</w:t>
      </w:r>
      <w:r>
        <w:rPr>
          <w:rFonts w:hint="eastAsia" w:ascii="Times New Roman" w:hAnsi="Times New Roman" w:eastAsia="仿宋_GB2312" w:cs="仿宋_GB2312"/>
          <w:kern w:val="2"/>
          <w:sz w:val="32"/>
          <w:szCs w:val="32"/>
        </w:rPr>
        <w:t>中检验项目依据的标准要求时，应按被检产品明示的质量要求判定。若被检产品明示的质量要求低于本</w:t>
      </w:r>
      <w:r>
        <w:rPr>
          <w:rFonts w:hint="eastAsia" w:ascii="Times New Roman" w:hAnsi="Times New Roman" w:eastAsia="仿宋_GB2312" w:cs="仿宋_GB2312"/>
          <w:kern w:val="2"/>
          <w:sz w:val="32"/>
          <w:szCs w:val="32"/>
          <w:lang w:eastAsia="zh-CN"/>
        </w:rPr>
        <w:t>细则</w:t>
      </w:r>
      <w:r>
        <w:rPr>
          <w:rFonts w:hint="eastAsia" w:ascii="Times New Roman" w:hAnsi="Times New Roman" w:eastAsia="仿宋_GB2312" w:cs="仿宋_GB2312"/>
          <w:kern w:val="2"/>
          <w:sz w:val="32"/>
          <w:szCs w:val="32"/>
        </w:rPr>
        <w:t>中检验项目依据的国家或行业强制性标准要求时，应按国家或行业强制性标准要求判定；若被检产品明示的质量要求低于或包含本细则中检验项目依据的推荐性标准要求时，应以被检产品明示的质量要求判定；若被检产品明示的质量要求缺少本</w:t>
      </w:r>
      <w:r>
        <w:rPr>
          <w:rFonts w:hint="eastAsia" w:ascii="Times New Roman" w:hAnsi="Times New Roman" w:eastAsia="仿宋_GB2312" w:cs="仿宋_GB2312"/>
          <w:kern w:val="2"/>
          <w:sz w:val="32"/>
          <w:szCs w:val="32"/>
          <w:lang w:eastAsia="zh-CN"/>
        </w:rPr>
        <w:t>细则</w:t>
      </w:r>
      <w:r>
        <w:rPr>
          <w:rFonts w:hint="eastAsia" w:ascii="Times New Roman" w:hAnsi="Times New Roman" w:eastAsia="仿宋_GB2312" w:cs="仿宋_GB2312"/>
          <w:kern w:val="2"/>
          <w:sz w:val="32"/>
          <w:szCs w:val="32"/>
        </w:rPr>
        <w:t>中的检验项目（主要是产品通用重要特征值）时，应按本</w:t>
      </w:r>
      <w:r>
        <w:rPr>
          <w:rFonts w:hint="eastAsia" w:ascii="Times New Roman" w:hAnsi="Times New Roman" w:eastAsia="仿宋_GB2312" w:cs="仿宋_GB2312"/>
          <w:kern w:val="2"/>
          <w:sz w:val="32"/>
          <w:szCs w:val="32"/>
          <w:lang w:eastAsia="zh-CN"/>
        </w:rPr>
        <w:t>细则</w:t>
      </w:r>
      <w:r>
        <w:rPr>
          <w:rFonts w:hint="eastAsia" w:ascii="Times New Roman" w:hAnsi="Times New Roman" w:eastAsia="仿宋_GB2312" w:cs="仿宋_GB2312"/>
          <w:kern w:val="2"/>
          <w:sz w:val="32"/>
          <w:szCs w:val="32"/>
        </w:rPr>
        <w:t>中检验项目依据的标准要求进行检验并判定；若被检产品明示的质量要求缺少本</w:t>
      </w:r>
      <w:r>
        <w:rPr>
          <w:rFonts w:hint="eastAsia" w:ascii="Times New Roman" w:hAnsi="Times New Roman" w:eastAsia="仿宋_GB2312" w:cs="仿宋_GB2312"/>
          <w:kern w:val="2"/>
          <w:sz w:val="32"/>
          <w:szCs w:val="32"/>
          <w:lang w:eastAsia="zh-CN"/>
        </w:rPr>
        <w:t>细则</w:t>
      </w:r>
      <w:r>
        <w:rPr>
          <w:rFonts w:hint="eastAsia" w:ascii="Times New Roman" w:hAnsi="Times New Roman" w:eastAsia="仿宋_GB2312" w:cs="仿宋_GB2312"/>
          <w:kern w:val="2"/>
          <w:sz w:val="32"/>
          <w:szCs w:val="32"/>
        </w:rPr>
        <w:t>中检验项目依据的推荐性标准要求时，该项目不参与判定，但应在检验报告备注中进行说明。</w:t>
      </w:r>
    </w:p>
    <w:p>
      <w:pPr>
        <w:keepNext w:val="0"/>
        <w:keepLines w:val="0"/>
        <w:pageBreakBefore w:val="0"/>
        <w:widowControl w:val="0"/>
        <w:kinsoku/>
        <w:wordWrap/>
        <w:overflowPunct/>
        <w:topLinePunct w:val="0"/>
        <w:bidi w:val="0"/>
        <w:snapToGrid/>
        <w:spacing w:line="600" w:lineRule="exact"/>
        <w:ind w:left="0" w:leftChars="0" w:right="0" w:firstLine="640" w:firstLineChars="200"/>
        <w:textAlignment w:val="auto"/>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②若样品出现封样状态破坏或样品异常损坏的情况，影响检验结果，则停止对该样品的检验。</w:t>
      </w:r>
    </w:p>
    <w:p>
      <w:pPr>
        <w:keepNext w:val="0"/>
        <w:keepLines w:val="0"/>
        <w:pageBreakBefore w:val="0"/>
        <w:widowControl w:val="0"/>
        <w:kinsoku/>
        <w:wordWrap/>
        <w:overflowPunct/>
        <w:topLinePunct w:val="0"/>
        <w:bidi w:val="0"/>
        <w:snapToGrid/>
        <w:spacing w:line="600" w:lineRule="exact"/>
        <w:ind w:left="0" w:leftChars="0" w:right="0" w:firstLine="640" w:firstLineChars="200"/>
        <w:textAlignment w:val="auto"/>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③检测微生物指标应采用未开封的样品,分装、已拆封样品不检测微生物指标。</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firstLine="640" w:firstLineChars="200"/>
        <w:jc w:val="both"/>
        <w:textAlignment w:val="auto"/>
        <w:rPr>
          <w:rFonts w:ascii="Times New Roman" w:hAnsi="Times New Roman" w:eastAsia="黑体"/>
          <w:bCs/>
          <w:kern w:val="2"/>
          <w:sz w:val="32"/>
          <w:szCs w:val="32"/>
        </w:rPr>
      </w:pPr>
      <w:r>
        <w:rPr>
          <w:rFonts w:hint="eastAsia" w:ascii="Times New Roman" w:hAnsi="Times New Roman" w:eastAsia="黑体"/>
          <w:bCs/>
          <w:kern w:val="2"/>
          <w:sz w:val="32"/>
          <w:szCs w:val="32"/>
        </w:rPr>
        <w:t>5 判定原则</w:t>
      </w:r>
    </w:p>
    <w:p>
      <w:pPr>
        <w:keepNext w:val="0"/>
        <w:keepLines w:val="0"/>
        <w:pageBreakBefore w:val="0"/>
        <w:widowControl w:val="0"/>
        <w:kinsoku/>
        <w:wordWrap/>
        <w:overflowPunct/>
        <w:topLinePunct w:val="0"/>
        <w:bidi w:val="0"/>
        <w:snapToGrid/>
        <w:spacing w:line="600" w:lineRule="exact"/>
        <w:ind w:left="0" w:leftChars="0" w:right="0" w:firstLine="640" w:firstLineChars="200"/>
        <w:textAlignment w:val="auto"/>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经检验，检验项目全部合格，判定为被抽查产品合格；检验项目中任一项或一项以上不合格，判定为被抽查产品不合格。</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firstLine="640" w:firstLineChars="200"/>
        <w:jc w:val="both"/>
        <w:textAlignment w:val="auto"/>
        <w:rPr>
          <w:rFonts w:hint="eastAsia" w:ascii="Times New Roman" w:hAnsi="Times New Roman" w:eastAsia="黑体"/>
          <w:bCs/>
          <w:kern w:val="2"/>
          <w:sz w:val="32"/>
          <w:szCs w:val="32"/>
        </w:rPr>
      </w:pPr>
      <w:r>
        <w:rPr>
          <w:rFonts w:hint="eastAsia" w:ascii="Times New Roman" w:hAnsi="Times New Roman" w:eastAsia="黑体"/>
          <w:bCs/>
          <w:kern w:val="2"/>
          <w:sz w:val="32"/>
          <w:szCs w:val="32"/>
        </w:rPr>
        <w:t>6 异议处理复检</w:t>
      </w:r>
    </w:p>
    <w:p>
      <w:pPr>
        <w:keepNext w:val="0"/>
        <w:keepLines w:val="0"/>
        <w:pageBreakBefore w:val="0"/>
        <w:widowControl w:val="0"/>
        <w:kinsoku/>
        <w:wordWrap/>
        <w:overflowPunct/>
        <w:topLinePunct w:val="0"/>
        <w:bidi w:val="0"/>
        <w:snapToGrid/>
        <w:spacing w:line="600" w:lineRule="exact"/>
        <w:ind w:left="0" w:leftChars="0" w:right="0" w:firstLine="640" w:firstLineChars="200"/>
        <w:jc w:val="both"/>
        <w:textAlignment w:val="auto"/>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对判定不合格产品进行复检时，按以下方式进行：</w:t>
      </w:r>
    </w:p>
    <w:p>
      <w:pPr>
        <w:keepNext w:val="0"/>
        <w:keepLines w:val="0"/>
        <w:pageBreakBefore w:val="0"/>
        <w:widowControl w:val="0"/>
        <w:kinsoku/>
        <w:wordWrap/>
        <w:overflowPunct/>
        <w:topLinePunct w:val="0"/>
        <w:bidi w:val="0"/>
        <w:snapToGrid/>
        <w:spacing w:line="600" w:lineRule="exact"/>
        <w:ind w:left="0" w:leftChars="0" w:right="0" w:firstLine="640" w:firstLineChars="200"/>
        <w:jc w:val="both"/>
        <w:textAlignment w:val="auto"/>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6.1对不合格项目复检时，采用留样复检。</w:t>
      </w:r>
      <w:r>
        <w:rPr>
          <w:rFonts w:hint="eastAsia" w:ascii="Times New Roman" w:hAnsi="Times New Roman" w:eastAsia="仿宋_GB2312" w:cs="仿宋_GB2312"/>
          <w:sz w:val="32"/>
          <w:szCs w:val="32"/>
        </w:rPr>
        <w:t>复检结论为最终检验结论</w:t>
      </w:r>
      <w:r>
        <w:rPr>
          <w:rFonts w:hint="eastAsia" w:ascii="Times New Roman" w:hAnsi="Times New Roman" w:eastAsia="仿宋_GB2312" w:cs="仿宋_GB2312"/>
          <w:kern w:val="2"/>
          <w:sz w:val="32"/>
          <w:szCs w:val="32"/>
        </w:rPr>
        <w:t>。</w:t>
      </w:r>
    </w:p>
    <w:p>
      <w:pPr>
        <w:keepNext w:val="0"/>
        <w:keepLines w:val="0"/>
        <w:pageBreakBefore w:val="0"/>
        <w:widowControl w:val="0"/>
        <w:kinsoku/>
        <w:wordWrap/>
        <w:overflowPunct/>
        <w:topLinePunct w:val="0"/>
        <w:bidi w:val="0"/>
        <w:snapToGrid/>
        <w:spacing w:line="600" w:lineRule="exact"/>
        <w:ind w:left="0" w:leftChars="0" w:right="0" w:firstLine="640" w:firstLineChars="200"/>
        <w:jc w:val="both"/>
        <w:textAlignment w:val="auto"/>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6.2不进行复检情况：</w:t>
      </w:r>
    </w:p>
    <w:p>
      <w:pPr>
        <w:keepNext w:val="0"/>
        <w:keepLines w:val="0"/>
        <w:pageBreakBefore w:val="0"/>
        <w:widowControl w:val="0"/>
        <w:kinsoku/>
        <w:wordWrap/>
        <w:overflowPunct/>
        <w:topLinePunct w:val="0"/>
        <w:bidi w:val="0"/>
        <w:snapToGrid/>
        <w:spacing w:line="600" w:lineRule="exact"/>
        <w:ind w:left="0" w:leftChars="0" w:right="0" w:firstLine="640" w:firstLineChars="200"/>
        <w:jc w:val="both"/>
        <w:textAlignment w:val="auto"/>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①被检方提出复检时，产品在复检有效期内于正常贮存条件下已变质；</w:t>
      </w:r>
    </w:p>
    <w:p>
      <w:pPr>
        <w:keepNext w:val="0"/>
        <w:keepLines w:val="0"/>
        <w:pageBreakBefore w:val="0"/>
        <w:widowControl w:val="0"/>
        <w:kinsoku/>
        <w:wordWrap/>
        <w:overflowPunct/>
        <w:topLinePunct w:val="0"/>
        <w:bidi w:val="0"/>
        <w:snapToGrid/>
        <w:spacing w:line="600" w:lineRule="exact"/>
        <w:ind w:left="0" w:leftChars="0" w:right="0" w:firstLine="640" w:firstLineChars="200"/>
        <w:jc w:val="both"/>
        <w:textAlignment w:val="auto"/>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②依据GB 4789.1-2016《食品安全国家标准 食品微生物学检验 总则》第7.3条规定“检验结果报告后，剩余样品和同批产品不进行微生物项目的复检”和《健康相关产品国家卫生监督抽检规定》</w:t>
      </w:r>
      <w:r>
        <w:rPr>
          <w:rFonts w:hint="eastAsia" w:ascii="Times New Roman" w:hAnsi="Times New Roman" w:eastAsia="仿宋_GB2312" w:cs="仿宋_GB2312"/>
          <w:kern w:val="2"/>
          <w:sz w:val="32"/>
          <w:szCs w:val="32"/>
          <w:lang w:eastAsia="zh-CN"/>
        </w:rPr>
        <w:t>（</w:t>
      </w:r>
      <w:r>
        <w:rPr>
          <w:rFonts w:hint="eastAsia" w:ascii="Times New Roman" w:hAnsi="Times New Roman" w:eastAsia="仿宋_GB2312" w:cs="仿宋_GB2312"/>
          <w:kern w:val="2"/>
          <w:sz w:val="32"/>
          <w:szCs w:val="32"/>
        </w:rPr>
        <w:t>卫监督发</w:t>
      </w:r>
      <w:r>
        <w:rPr>
          <w:rFonts w:hint="eastAsia" w:ascii="Times New Roman" w:hAnsi="Times New Roman" w:eastAsia="仿宋_GB2312" w:cs="仿宋_GB2312"/>
          <w:kern w:val="2"/>
          <w:sz w:val="32"/>
          <w:szCs w:val="32"/>
          <w:lang w:eastAsia="zh-CN"/>
        </w:rPr>
        <w:t>〔</w:t>
      </w:r>
      <w:r>
        <w:rPr>
          <w:rFonts w:hint="eastAsia" w:ascii="Times New Roman" w:hAnsi="Times New Roman" w:eastAsia="仿宋_GB2312" w:cs="仿宋_GB2312"/>
          <w:kern w:val="2"/>
          <w:sz w:val="32"/>
          <w:szCs w:val="32"/>
        </w:rPr>
        <w:t>2005</w:t>
      </w:r>
      <w:r>
        <w:rPr>
          <w:rFonts w:hint="eastAsia" w:ascii="Times New Roman" w:hAnsi="Times New Roman" w:eastAsia="仿宋_GB2312" w:cs="仿宋_GB2312"/>
          <w:kern w:val="2"/>
          <w:sz w:val="32"/>
          <w:szCs w:val="32"/>
          <w:lang w:eastAsia="zh-CN"/>
        </w:rPr>
        <w:t>〕</w:t>
      </w:r>
      <w:r>
        <w:rPr>
          <w:rFonts w:hint="eastAsia" w:ascii="Times New Roman" w:hAnsi="Times New Roman" w:eastAsia="仿宋_GB2312" w:cs="仿宋_GB2312"/>
          <w:kern w:val="2"/>
          <w:sz w:val="32"/>
          <w:szCs w:val="32"/>
        </w:rPr>
        <w:t>515号</w:t>
      </w:r>
      <w:r>
        <w:rPr>
          <w:rFonts w:hint="eastAsia" w:ascii="Times New Roman" w:hAnsi="Times New Roman" w:eastAsia="仿宋_GB2312" w:cs="仿宋_GB2312"/>
          <w:kern w:val="2"/>
          <w:sz w:val="32"/>
          <w:szCs w:val="32"/>
          <w:lang w:eastAsia="zh-CN"/>
        </w:rPr>
        <w:t>）</w:t>
      </w:r>
      <w:r>
        <w:rPr>
          <w:rFonts w:hint="eastAsia" w:ascii="Times New Roman" w:hAnsi="Times New Roman" w:eastAsia="仿宋_GB2312" w:cs="仿宋_GB2312"/>
          <w:kern w:val="2"/>
          <w:sz w:val="32"/>
          <w:szCs w:val="32"/>
        </w:rPr>
        <w:t>第十九条：“产品微生物指标超标的不予复检”的规定，微生物指标不合格不进行复检；</w:t>
      </w:r>
    </w:p>
    <w:p>
      <w:pPr>
        <w:keepNext w:val="0"/>
        <w:keepLines w:val="0"/>
        <w:pageBreakBefore w:val="0"/>
        <w:widowControl w:val="0"/>
        <w:kinsoku/>
        <w:wordWrap/>
        <w:overflowPunct/>
        <w:topLinePunct w:val="0"/>
        <w:bidi w:val="0"/>
        <w:snapToGrid/>
        <w:spacing w:line="600" w:lineRule="exact"/>
        <w:ind w:left="0" w:leftChars="0" w:right="0" w:firstLine="640" w:firstLineChars="200"/>
        <w:jc w:val="both"/>
        <w:textAlignment w:val="auto"/>
        <w:rPr>
          <w:rFonts w:hint="eastAsia" w:ascii="Times New Roman" w:hAnsi="Times New Roman" w:eastAsia="仿宋_GB2312" w:cs="仿宋_GB2312"/>
          <w:sz w:val="32"/>
          <w:szCs w:val="32"/>
          <w:lang w:bidi="ar"/>
        </w:rPr>
      </w:pPr>
      <w:r>
        <w:rPr>
          <w:rFonts w:hint="eastAsia" w:ascii="Times New Roman" w:hAnsi="Times New Roman" w:eastAsia="仿宋_GB2312" w:cs="仿宋_GB2312"/>
          <w:kern w:val="2"/>
          <w:sz w:val="32"/>
          <w:szCs w:val="32"/>
        </w:rPr>
        <w:t>③法律、法规规定不得复检的其他情况。</w:t>
      </w:r>
    </w:p>
    <w:p/>
    <w:sectPr>
      <w:pgSz w:w="11906" w:h="16838"/>
      <w:pgMar w:top="2098"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2B34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gdqts</dc:creator>
  <cp:lastModifiedBy>胡翌婧&amp;userId=089c2245-3540-4cda-8005-8eb0d4dc8848</cp:lastModifiedBy>
  <dcterms:modified xsi:type="dcterms:W3CDTF">2022-08-30T09:15:21Z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