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附件</w:t>
      </w:r>
      <w:bookmarkStart w:id="0" w:name="_GoBack"/>
      <w:r>
        <w:rPr>
          <w:rFonts w:hint="eastAsia" w:ascii="Times New Roman" w:hAnsi="Times New Roman" w:eastAsia="黑体" w:cs="黑体"/>
          <w:b w:val="0"/>
          <w:bCs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Times New Roman" w:hAnsi="Times New Roman"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center"/>
        <w:textAlignment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2022年</w:t>
      </w:r>
      <w:r>
        <w:rPr>
          <w:rFonts w:hint="eastAsia" w:ascii="Times New Roman" w:hAnsi="Times New Roman" w:eastAsia="方正小标宋简体" w:cs="方正小标宋简体"/>
          <w:b w:val="0"/>
          <w:bCs w:val="0"/>
          <w:sz w:val="44"/>
          <w:szCs w:val="44"/>
        </w:rPr>
        <w:t>广东省工业和商用电热食品加工设备</w:t>
      </w:r>
    </w:p>
    <w:p>
      <w:pPr>
        <w:keepNext w:val="0"/>
        <w:keepLines w:val="0"/>
        <w:pageBreakBefore w:val="0"/>
        <w:widowControl/>
        <w:kinsoku/>
        <w:wordWrap/>
        <w:overflowPunct/>
        <w:topLinePunct w:val="0"/>
        <w:autoSpaceDE/>
        <w:autoSpaceDN/>
        <w:bidi w:val="0"/>
        <w:adjustRightInd/>
        <w:snapToGrid/>
        <w:spacing w:line="640" w:lineRule="exact"/>
        <w:jc w:val="center"/>
        <w:textAlignment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生产领域</w:t>
      </w:r>
      <w:r>
        <w:rPr>
          <w:rFonts w:hint="eastAsia" w:ascii="Times New Roman" w:hAnsi="Times New Roman" w:eastAsia="方正小标宋简体" w:cs="方正小标宋简体"/>
          <w:b w:val="0"/>
          <w:bCs w:val="0"/>
          <w:sz w:val="44"/>
          <w:szCs w:val="44"/>
          <w:lang w:eastAsia="zh-CN"/>
        </w:rPr>
        <w:t>质量安全</w:t>
      </w:r>
      <w:r>
        <w:rPr>
          <w:rFonts w:hint="eastAsia" w:ascii="Times New Roman" w:hAnsi="Times New Roman" w:eastAsia="方正小标宋简体" w:cs="方正小标宋简体"/>
          <w:b w:val="0"/>
          <w:bCs w:val="0"/>
          <w:sz w:val="44"/>
          <w:szCs w:val="44"/>
        </w:rPr>
        <w:t>监督抽查实施细则</w:t>
      </w:r>
    </w:p>
    <w:bookmarkEnd w:id="0"/>
    <w:p>
      <w:pPr>
        <w:keepNext w:val="0"/>
        <w:keepLines w:val="0"/>
        <w:pageBreakBefore w:val="0"/>
        <w:widowControl w:val="0"/>
        <w:kinsoku/>
        <w:wordWrap/>
        <w:overflowPunct/>
        <w:topLinePunct w:val="0"/>
        <w:autoSpaceDE w:val="0"/>
        <w:autoSpaceDN w:val="0"/>
        <w:bidi w:val="0"/>
        <w:adjustRightInd w:val="0"/>
        <w:snapToGrid/>
        <w:spacing w:line="640" w:lineRule="exact"/>
        <w:ind w:right="28"/>
        <w:jc w:val="both"/>
        <w:rPr>
          <w:rFonts w:hint="eastAsia" w:ascii="Times New Roman" w:hAnsi="Times New Roman" w:eastAsia="方正小标宋简体" w:cs="方正小标宋简体"/>
          <w:bCs/>
          <w:kern w:val="2"/>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28" w:firstLine="640" w:firstLineChars="200"/>
        <w:jc w:val="both"/>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1 适用范围</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本细则适用于广东省生产领域食品相关产品监督抽查，监督抽查产品范围为广东省内生产领域的工业和商用电热食品加工设备。</w:t>
      </w:r>
    </w:p>
    <w:p>
      <w:pPr>
        <w:keepNext w:val="0"/>
        <w:keepLines w:val="0"/>
        <w:pageBreakBefore w:val="0"/>
        <w:widowControl w:val="0"/>
        <w:kinsoku/>
        <w:wordWrap/>
        <w:overflowPunct/>
        <w:topLinePunct w:val="0"/>
        <w:autoSpaceDE w:val="0"/>
        <w:autoSpaceDN w:val="0"/>
        <w:bidi w:val="0"/>
        <w:adjustRightInd w:val="0"/>
        <w:snapToGrid/>
        <w:spacing w:line="600" w:lineRule="exact"/>
        <w:ind w:right="28" w:firstLine="640" w:firstLineChars="200"/>
        <w:jc w:val="both"/>
        <w:textAlignment w:val="auto"/>
        <w:rPr>
          <w:rFonts w:hint="eastAsia" w:ascii="Times New Roman" w:hAnsi="Times New Roman" w:cs="宋体"/>
          <w:bCs/>
          <w:sz w:val="32"/>
          <w:szCs w:val="32"/>
        </w:rPr>
      </w:pPr>
      <w:r>
        <w:rPr>
          <w:rFonts w:hint="eastAsia" w:ascii="Times New Roman" w:hAnsi="Times New Roman" w:eastAsia="黑体"/>
          <w:bCs/>
          <w:kern w:val="2"/>
          <w:sz w:val="32"/>
          <w:szCs w:val="32"/>
        </w:rPr>
        <w:t>2 检验依据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4806.9-2016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食品安全国家标准 食品接触用金属材料及制品</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4706.1-2005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第1部分：通用要求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4706.33-2008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商用电深油炸锅的特殊要求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4706.34-2008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商用电强制对流烤炉、蒸汽炊具和蒸汽对流炉的特殊要求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4706.35-2008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商用电煮锅的特殊要求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4706.36-2014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商用电开水器和液体加热器的特殊要求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4706.37-2008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商用单双面电热铛的特殊要求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4706.39-2008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商用电烤炉和烤面包炉的特殊要求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4706.40-2008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商用多用途电平锅的特殊要求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4706.52-2008</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家用和类似用途电器的安全 商用电炉灶、烤箱、灶和灶单元的特殊要求</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其他现行有效的企业标准及产品明示质量要求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相关的法律法规、部门规章和规范</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3 抽样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3.1抽样地点：企业成品库随机抽取产品。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3.2抽样方法：每家生产企业最多抽取两种不同型号的产品，被抽取样品应是2020年7月1日以后生产的、经企业出厂检验合格并允许销售的产品。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3.3抽样基数：抽查样品基数满足抽样数量即可。</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3.4样品数量和要求：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整机：抽取样品应为同一型号规格、同一批次的产品。每款产品抽取2组样本，第1组用于检验，第2组用于备样。第1组样本需抽取1个样品，第2组样本需抽取1个样品。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材料样块：抽取金属材料，但带涂（镀）层的金属材料除外。材料样块在直接接触食品的部件上或在与其部件材料牌号、材质、生产商相同的原材料上截取。每批次产品截取样块6组，每组样块应满足表面积≥50cm</w:t>
      </w:r>
      <w:r>
        <w:rPr>
          <w:rFonts w:hint="eastAsia" w:ascii="Times New Roman" w:hAnsi="Times New Roman" w:eastAsia="仿宋_GB2312" w:cs="仿宋_GB2312"/>
          <w:sz w:val="32"/>
          <w:szCs w:val="32"/>
          <w:vertAlign w:val="superscript"/>
          <w:lang w:bidi="ar"/>
        </w:rPr>
        <w:t>2</w:t>
      </w:r>
      <w:r>
        <w:rPr>
          <w:rFonts w:hint="eastAsia" w:ascii="Times New Roman" w:hAnsi="Times New Roman" w:eastAsia="仿宋_GB2312" w:cs="仿宋_GB2312"/>
          <w:sz w:val="32"/>
          <w:szCs w:val="32"/>
          <w:lang w:bidi="ar"/>
        </w:rPr>
        <w:t>，其中3组作为检验样品，3组作为备用样品。</w:t>
      </w:r>
    </w:p>
    <w:p>
      <w:pPr>
        <w:keepNext w:val="0"/>
        <w:keepLines w:val="0"/>
        <w:pageBreakBefore w:val="0"/>
        <w:widowControl w:val="0"/>
        <w:kinsoku/>
        <w:wordWrap/>
        <w:overflowPunct/>
        <w:topLinePunct w:val="0"/>
        <w:autoSpaceDE w:val="0"/>
        <w:autoSpaceDN w:val="0"/>
        <w:bidi w:val="0"/>
        <w:adjustRightInd w:val="0"/>
        <w:snapToGrid/>
        <w:spacing w:line="520" w:lineRule="exact"/>
        <w:ind w:right="0" w:firstLine="640" w:firstLineChars="200"/>
        <w:jc w:val="both"/>
        <w:textAlignment w:val="auto"/>
        <w:rPr>
          <w:rFonts w:ascii="Times New Roman" w:hAnsi="Times New Roman" w:eastAsia="黑体"/>
          <w:bCs/>
          <w:kern w:val="2"/>
          <w:sz w:val="32"/>
          <w:szCs w:val="32"/>
        </w:rPr>
      </w:pPr>
      <w:r>
        <w:rPr>
          <w:rFonts w:hint="eastAsia" w:ascii="Times New Roman" w:hAnsi="Times New Roman" w:eastAsia="黑体"/>
          <w:bCs/>
          <w:kern w:val="2"/>
          <w:sz w:val="32"/>
          <w:szCs w:val="32"/>
        </w:rPr>
        <w:t>4 检验项目要求</w:t>
      </w:r>
    </w:p>
    <w:tbl>
      <w:tblPr>
        <w:tblStyle w:val="3"/>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4"/>
        <w:gridCol w:w="2872"/>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24" w:type="dxa"/>
            <w:noWrap w:val="0"/>
            <w:tcMar>
              <w:top w:w="48" w:type="dxa"/>
              <w:left w:w="48" w:type="dxa"/>
              <w:bottom w:w="48" w:type="dxa"/>
              <w:right w:w="48" w:type="dxa"/>
            </w:tcMar>
            <w:vAlign w:val="center"/>
          </w:tcPr>
          <w:p>
            <w:pPr>
              <w:keepNext w:val="0"/>
              <w:keepLines w:val="0"/>
              <w:pageBreakBefore w:val="0"/>
              <w:widowControl w:val="0"/>
              <w:kinsoku/>
              <w:wordWrap/>
              <w:overflowPunct/>
              <w:topLinePunct w:val="0"/>
              <w:bidi w:val="0"/>
              <w:snapToGrid/>
              <w:spacing w:line="280" w:lineRule="exact"/>
              <w:ind w:right="0"/>
              <w:textAlignment w:val="auto"/>
              <w:rPr>
                <w:rFonts w:ascii="Times New Roman" w:hAnsi="Times New Roman"/>
                <w:sz w:val="19"/>
                <w:szCs w:val="19"/>
              </w:rPr>
            </w:pPr>
            <w:r>
              <w:rPr>
                <w:rFonts w:ascii="Times New Roman" w:hAnsi="Times New Roman" w:cs="宋体"/>
                <w:sz w:val="19"/>
                <w:szCs w:val="19"/>
                <w:lang w:bidi="ar"/>
              </w:rPr>
              <w:t>   </w:t>
            </w:r>
          </w:p>
          <w:p>
            <w:pPr>
              <w:keepNext w:val="0"/>
              <w:keepLines w:val="0"/>
              <w:pageBreakBefore w:val="0"/>
              <w:widowControl w:val="0"/>
              <w:kinsoku/>
              <w:wordWrap/>
              <w:overflowPunct/>
              <w:topLinePunct w:val="0"/>
              <w:bidi w:val="0"/>
              <w:snapToGrid/>
              <w:spacing w:line="280" w:lineRule="exact"/>
              <w:ind w:right="0"/>
              <w:jc w:val="center"/>
              <w:textAlignment w:val="auto"/>
              <w:rPr>
                <w:rFonts w:ascii="Times New Roman" w:hAnsi="Times New Roman"/>
                <w:sz w:val="19"/>
                <w:szCs w:val="19"/>
              </w:rPr>
            </w:pPr>
            <w:r>
              <w:rPr>
                <w:rFonts w:ascii="Times New Roman" w:hAnsi="Times New Roman" w:cs="宋体"/>
                <w:sz w:val="19"/>
                <w:szCs w:val="19"/>
                <w:lang w:bidi="ar"/>
              </w:rPr>
              <w:t>序号</w:t>
            </w:r>
          </w:p>
          <w:p>
            <w:pPr>
              <w:keepNext w:val="0"/>
              <w:keepLines w:val="0"/>
              <w:pageBreakBefore w:val="0"/>
              <w:widowControl w:val="0"/>
              <w:kinsoku/>
              <w:wordWrap/>
              <w:overflowPunct/>
              <w:topLinePunct w:val="0"/>
              <w:bidi w:val="0"/>
              <w:snapToGrid/>
              <w:spacing w:line="280" w:lineRule="exact"/>
              <w:ind w:right="0"/>
              <w:textAlignment w:val="auto"/>
              <w:rPr>
                <w:rFonts w:ascii="Times New Roman" w:hAnsi="Times New Roman"/>
              </w:rPr>
            </w:pPr>
            <w:r>
              <w:rPr>
                <w:rFonts w:ascii="Times New Roman" w:hAnsi="Times New Roman" w:cs="宋体"/>
                <w:sz w:val="19"/>
                <w:szCs w:val="19"/>
                <w:lang w:bidi="ar"/>
              </w:rPr>
              <w:t>   </w:t>
            </w:r>
          </w:p>
        </w:tc>
        <w:tc>
          <w:tcPr>
            <w:tcW w:w="2872" w:type="dxa"/>
            <w:noWrap w:val="0"/>
            <w:tcMar>
              <w:top w:w="48" w:type="dxa"/>
              <w:left w:w="48" w:type="dxa"/>
              <w:bottom w:w="48" w:type="dxa"/>
              <w:right w:w="48" w:type="dxa"/>
            </w:tcMar>
            <w:vAlign w:val="center"/>
          </w:tcPr>
          <w:p>
            <w:pPr>
              <w:keepNext w:val="0"/>
              <w:keepLines w:val="0"/>
              <w:pageBreakBefore w:val="0"/>
              <w:widowControl w:val="0"/>
              <w:kinsoku/>
              <w:wordWrap/>
              <w:overflowPunct/>
              <w:topLinePunct w:val="0"/>
              <w:bidi w:val="0"/>
              <w:snapToGrid/>
              <w:spacing w:line="280" w:lineRule="exact"/>
              <w:ind w:right="0"/>
              <w:jc w:val="center"/>
              <w:textAlignment w:val="auto"/>
              <w:rPr>
                <w:rFonts w:ascii="Times New Roman" w:hAnsi="Times New Roman"/>
                <w:sz w:val="19"/>
                <w:szCs w:val="19"/>
              </w:rPr>
            </w:pPr>
            <w:r>
              <w:rPr>
                <w:rFonts w:ascii="Times New Roman" w:hAnsi="Times New Roman" w:cs="宋体"/>
                <w:sz w:val="19"/>
                <w:szCs w:val="19"/>
                <w:lang w:bidi="ar"/>
              </w:rPr>
              <w:t>检验项目</w:t>
            </w:r>
          </w:p>
        </w:tc>
        <w:tc>
          <w:tcPr>
            <w:tcW w:w="5280" w:type="dxa"/>
            <w:noWrap w:val="0"/>
            <w:tcMar>
              <w:top w:w="48" w:type="dxa"/>
              <w:left w:w="48" w:type="dxa"/>
              <w:bottom w:w="48" w:type="dxa"/>
              <w:right w:w="48" w:type="dxa"/>
            </w:tcMar>
            <w:vAlign w:val="center"/>
          </w:tcPr>
          <w:p>
            <w:pPr>
              <w:keepNext w:val="0"/>
              <w:keepLines w:val="0"/>
              <w:pageBreakBefore w:val="0"/>
              <w:widowControl w:val="0"/>
              <w:kinsoku/>
              <w:wordWrap/>
              <w:overflowPunct/>
              <w:topLinePunct w:val="0"/>
              <w:bidi w:val="0"/>
              <w:snapToGrid/>
              <w:spacing w:line="280" w:lineRule="exact"/>
              <w:ind w:right="0"/>
              <w:jc w:val="center"/>
              <w:textAlignment w:val="auto"/>
              <w:rPr>
                <w:rFonts w:ascii="Times New Roman" w:hAnsi="Times New Roman"/>
                <w:sz w:val="19"/>
                <w:szCs w:val="19"/>
              </w:rPr>
            </w:pPr>
            <w:r>
              <w:rPr>
                <w:rFonts w:ascii="Times New Roman" w:hAnsi="Times New Roman" w:cs="宋体"/>
                <w:sz w:val="19"/>
                <w:szCs w:val="19"/>
                <w:lang w:bidi="ar"/>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5" w:hRule="atLeast"/>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1</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不锈钢理化指标-砷</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31604.38-2016第二部分，</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2</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不锈钢理化指标-镉</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31604.24-2016，</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3</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不锈钢理化指标-铅</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31604.34-2016第二部分，</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4</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不锈钢理化指标-镍</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31604.33-2016，</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5</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不锈钢理化指标-铬a</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31604.25-2016，</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6</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其他金属理化指标-砷</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31604.38-2016第二部分，</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7</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其他金属理化指标-镉</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31604.24-2016，</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8</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其他金属理化指标-铅</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31604.1-2015、</w:t>
            </w:r>
          </w:p>
          <w:p>
            <w:pPr>
              <w:jc w:val="center"/>
              <w:rPr>
                <w:rFonts w:ascii="Times New Roman" w:hAnsi="Times New Roman"/>
                <w:sz w:val="19"/>
                <w:szCs w:val="19"/>
              </w:rPr>
            </w:pPr>
            <w:r>
              <w:rPr>
                <w:rFonts w:ascii="Times New Roman" w:hAnsi="Times New Roman" w:cs="宋体"/>
                <w:sz w:val="19"/>
                <w:szCs w:val="19"/>
                <w:lang w:bidi="ar"/>
              </w:rPr>
              <w:t>GB 5009.156-2016、</w:t>
            </w:r>
          </w:p>
          <w:p>
            <w:pPr>
              <w:jc w:val="center"/>
              <w:rPr>
                <w:rFonts w:ascii="Times New Roman" w:hAnsi="Times New Roman"/>
                <w:sz w:val="19"/>
                <w:szCs w:val="19"/>
              </w:rPr>
            </w:pPr>
            <w:r>
              <w:rPr>
                <w:rFonts w:ascii="Times New Roman" w:hAnsi="Times New Roman" w:cs="宋体"/>
                <w:sz w:val="19"/>
                <w:szCs w:val="19"/>
                <w:lang w:bidi="ar"/>
              </w:rPr>
              <w:t>GB 31604.34-2016第二部分，</w:t>
            </w:r>
          </w:p>
          <w:p>
            <w:pPr>
              <w:jc w:val="center"/>
              <w:rPr>
                <w:rFonts w:ascii="Times New Roman" w:hAnsi="Times New Roman"/>
                <w:sz w:val="19"/>
                <w:szCs w:val="19"/>
              </w:rPr>
            </w:pPr>
            <w:r>
              <w:rPr>
                <w:rFonts w:ascii="Times New Roman" w:hAnsi="Times New Roman" w:cs="宋体"/>
                <w:sz w:val="19"/>
                <w:szCs w:val="19"/>
                <w:lang w:bidi="ar"/>
              </w:rPr>
              <w:t>或GB 31604.49-2016第二部分、</w:t>
            </w:r>
          </w:p>
          <w:p>
            <w:pPr>
              <w:jc w:val="center"/>
              <w:rPr>
                <w:rFonts w:ascii="Times New Roman" w:hAnsi="Times New Roman"/>
                <w:sz w:val="19"/>
                <w:szCs w:val="19"/>
              </w:rPr>
            </w:pPr>
            <w:r>
              <w:rPr>
                <w:rFonts w:ascii="Times New Roman" w:hAnsi="Times New Roman" w:cs="宋体"/>
                <w:sz w:val="19"/>
                <w:szCs w:val="19"/>
                <w:lang w:bidi="ar"/>
              </w:rPr>
              <w:t>GB 4806.9-2016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9</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对触及带电部件的防护</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0</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输入功率和电流</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上述标准第10章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cs="宋体"/>
                <w:sz w:val="19"/>
                <w:szCs w:val="19"/>
                <w:lang w:bidi="ar"/>
              </w:rPr>
            </w:pPr>
            <w:r>
              <w:rPr>
                <w:rFonts w:hint="eastAsia" w:ascii="Times New Roman" w:hAnsi="Times New Roman" w:cs="宋体"/>
                <w:sz w:val="19"/>
                <w:szCs w:val="19"/>
                <w:lang w:bidi="ar"/>
              </w:rPr>
              <w:t>11</w:t>
            </w:r>
          </w:p>
        </w:tc>
        <w:tc>
          <w:tcPr>
            <w:tcW w:w="2872" w:type="dxa"/>
            <w:noWrap w:val="0"/>
            <w:tcMar>
              <w:top w:w="48" w:type="dxa"/>
              <w:left w:w="48" w:type="dxa"/>
              <w:bottom w:w="48" w:type="dxa"/>
              <w:right w:w="48" w:type="dxa"/>
            </w:tcMar>
            <w:vAlign w:val="center"/>
          </w:tcPr>
          <w:p>
            <w:pPr>
              <w:jc w:val="center"/>
              <w:rPr>
                <w:rFonts w:ascii="Times New Roman" w:hAnsi="Times New Roman" w:cs="宋体"/>
                <w:sz w:val="19"/>
                <w:szCs w:val="19"/>
                <w:lang w:bidi="ar"/>
              </w:rPr>
            </w:pPr>
            <w:r>
              <w:rPr>
                <w:rFonts w:ascii="Times New Roman" w:hAnsi="Times New Roman" w:cs="宋体"/>
                <w:sz w:val="19"/>
                <w:szCs w:val="19"/>
                <w:lang w:bidi="ar"/>
              </w:rPr>
              <w:t>发热</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cs="宋体"/>
                <w:sz w:val="19"/>
                <w:szCs w:val="19"/>
                <w:lang w:bidi="ar"/>
              </w:rPr>
            </w:pPr>
            <w:r>
              <w:rPr>
                <w:rFonts w:ascii="Times New Roman" w:hAnsi="Times New Roman" w:cs="宋体"/>
                <w:sz w:val="19"/>
                <w:szCs w:val="19"/>
                <w:lang w:bidi="ar"/>
              </w:rPr>
              <w:t>上述标准第1</w:t>
            </w:r>
            <w:r>
              <w:rPr>
                <w:rFonts w:hint="eastAsia" w:ascii="Times New Roman" w:hAnsi="Times New Roman" w:cs="宋体"/>
                <w:sz w:val="19"/>
                <w:szCs w:val="19"/>
                <w:lang w:bidi="ar"/>
              </w:rPr>
              <w:t>1</w:t>
            </w:r>
            <w:r>
              <w:rPr>
                <w:rFonts w:ascii="Times New Roman" w:hAnsi="Times New Roman" w:cs="宋体"/>
                <w:sz w:val="19"/>
                <w:szCs w:val="19"/>
                <w:lang w:bidi="ar"/>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2</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工作温度下的泄漏电流和电气强度</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上述标准第13章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3</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泄漏电流和电气强度</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上述标准第16章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4</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非正常工作（不含</w:t>
            </w:r>
            <w:r>
              <w:rPr>
                <w:rFonts w:hint="eastAsia" w:ascii="Times New Roman" w:hAnsi="Times New Roman" w:cs="宋体"/>
                <w:sz w:val="19"/>
                <w:szCs w:val="19"/>
                <w:lang w:bidi="ar"/>
              </w:rPr>
              <w:t>19.11.4</w:t>
            </w:r>
            <w:r>
              <w:rPr>
                <w:rFonts w:ascii="Times New Roman" w:hAnsi="Times New Roman" w:cs="宋体"/>
                <w:sz w:val="19"/>
                <w:szCs w:val="19"/>
                <w:lang w:bidi="ar"/>
              </w:rPr>
              <w:t>）</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上述标准第19章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5</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稳定性和机械危险</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上述标准第20章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6</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机械强度</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上述标准第21章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7</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结构（不含</w:t>
            </w:r>
            <w:r>
              <w:rPr>
                <w:rFonts w:hint="eastAsia" w:ascii="Times New Roman" w:hAnsi="Times New Roman" w:cs="宋体"/>
                <w:sz w:val="19"/>
                <w:szCs w:val="19"/>
                <w:lang w:bidi="ar"/>
              </w:rPr>
              <w:t>22.46</w:t>
            </w:r>
            <w:r>
              <w:rPr>
                <w:rFonts w:ascii="Times New Roman" w:hAnsi="Times New Roman" w:cs="宋体"/>
                <w:sz w:val="19"/>
                <w:szCs w:val="19"/>
                <w:lang w:bidi="ar"/>
              </w:rPr>
              <w:t>）</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上述标准第22章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8</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内部布线（不含</w:t>
            </w:r>
            <w:r>
              <w:rPr>
                <w:rFonts w:hint="eastAsia" w:ascii="Times New Roman" w:hAnsi="Times New Roman" w:cs="宋体"/>
                <w:sz w:val="19"/>
                <w:szCs w:val="19"/>
                <w:lang w:bidi="ar"/>
              </w:rPr>
              <w:t>23.3</w:t>
            </w:r>
            <w:r>
              <w:rPr>
                <w:rFonts w:ascii="Times New Roman" w:hAnsi="Times New Roman" w:cs="宋体"/>
                <w:sz w:val="19"/>
                <w:szCs w:val="19"/>
                <w:lang w:bidi="ar"/>
              </w:rPr>
              <w:t>）</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1</w:t>
            </w:r>
            <w:r>
              <w:rPr>
                <w:rFonts w:hint="eastAsia" w:ascii="Times New Roman" w:hAnsi="Times New Roman" w:cs="宋体"/>
                <w:sz w:val="19"/>
                <w:szCs w:val="19"/>
                <w:lang w:bidi="ar"/>
              </w:rPr>
              <w:t>9</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电源连接和外部软线</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hint="eastAsia" w:ascii="Times New Roman" w:hAnsi="Times New Roman" w:cs="宋体"/>
                <w:sz w:val="19"/>
                <w:szCs w:val="19"/>
                <w:lang w:bidi="ar"/>
              </w:rPr>
              <w:t>20</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外部导线用接线端子</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2</w:t>
            </w:r>
            <w:r>
              <w:rPr>
                <w:rFonts w:hint="eastAsia" w:ascii="Times New Roman" w:hAnsi="Times New Roman" w:cs="宋体"/>
                <w:sz w:val="19"/>
                <w:szCs w:val="19"/>
                <w:lang w:bidi="ar"/>
              </w:rPr>
              <w:t>1</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接地措施</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2</w:t>
            </w:r>
            <w:r>
              <w:rPr>
                <w:rFonts w:hint="eastAsia" w:ascii="Times New Roman" w:hAnsi="Times New Roman" w:cs="宋体"/>
                <w:sz w:val="19"/>
                <w:szCs w:val="19"/>
                <w:lang w:bidi="ar"/>
              </w:rPr>
              <w:t>2</w:t>
            </w:r>
          </w:p>
        </w:tc>
        <w:tc>
          <w:tcPr>
            <w:tcW w:w="2872"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螺钉和连接</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sz w:val="19"/>
                <w:szCs w:val="19"/>
              </w:rPr>
            </w:pPr>
            <w:r>
              <w:rPr>
                <w:rFonts w:ascii="Times New Roman" w:hAnsi="Times New Roman" w:cs="宋体"/>
                <w:sz w:val="19"/>
                <w:szCs w:val="19"/>
                <w:lang w:bidi="ar"/>
              </w:rPr>
              <w:t>上述标准第28章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724" w:type="dxa"/>
            <w:noWrap w:val="0"/>
            <w:tcMar>
              <w:top w:w="48" w:type="dxa"/>
              <w:left w:w="48" w:type="dxa"/>
              <w:bottom w:w="48" w:type="dxa"/>
              <w:right w:w="48" w:type="dxa"/>
            </w:tcMar>
            <w:vAlign w:val="center"/>
          </w:tcPr>
          <w:p>
            <w:pPr>
              <w:jc w:val="center"/>
              <w:rPr>
                <w:rFonts w:ascii="Times New Roman" w:hAnsi="Times New Roman" w:cs="宋体"/>
                <w:sz w:val="19"/>
                <w:szCs w:val="19"/>
                <w:lang w:bidi="ar"/>
              </w:rPr>
            </w:pPr>
            <w:r>
              <w:rPr>
                <w:rFonts w:hint="eastAsia" w:ascii="Times New Roman" w:hAnsi="Times New Roman" w:cs="宋体"/>
                <w:sz w:val="19"/>
                <w:szCs w:val="19"/>
                <w:lang w:bidi="ar"/>
              </w:rPr>
              <w:t>23</w:t>
            </w:r>
          </w:p>
        </w:tc>
        <w:tc>
          <w:tcPr>
            <w:tcW w:w="2872" w:type="dxa"/>
            <w:noWrap w:val="0"/>
            <w:tcMar>
              <w:top w:w="48" w:type="dxa"/>
              <w:left w:w="48" w:type="dxa"/>
              <w:bottom w:w="48" w:type="dxa"/>
              <w:right w:w="48" w:type="dxa"/>
            </w:tcMar>
            <w:vAlign w:val="center"/>
          </w:tcPr>
          <w:p>
            <w:pPr>
              <w:jc w:val="center"/>
              <w:rPr>
                <w:rFonts w:ascii="Times New Roman" w:hAnsi="Times New Roman" w:cs="宋体"/>
                <w:sz w:val="19"/>
                <w:szCs w:val="19"/>
                <w:lang w:bidi="ar"/>
              </w:rPr>
            </w:pPr>
            <w:r>
              <w:rPr>
                <w:rFonts w:ascii="Times New Roman" w:hAnsi="Times New Roman" w:cs="宋体"/>
                <w:sz w:val="19"/>
                <w:szCs w:val="19"/>
                <w:lang w:bidi="ar"/>
              </w:rPr>
              <w:t>电气间隙、爬电距离和固体绝缘</w:t>
            </w:r>
          </w:p>
        </w:tc>
        <w:tc>
          <w:tcPr>
            <w:tcW w:w="5280" w:type="dxa"/>
            <w:noWrap w:val="0"/>
            <w:tcMar>
              <w:top w:w="48" w:type="dxa"/>
              <w:left w:w="48" w:type="dxa"/>
              <w:bottom w:w="48" w:type="dxa"/>
              <w:right w:w="48" w:type="dxa"/>
            </w:tcMar>
            <w:vAlign w:val="center"/>
          </w:tcPr>
          <w:p>
            <w:pPr>
              <w:jc w:val="center"/>
              <w:rPr>
                <w:rFonts w:ascii="Times New Roman" w:hAnsi="Times New Roman"/>
                <w:sz w:val="19"/>
                <w:szCs w:val="19"/>
              </w:rPr>
            </w:pPr>
            <w:r>
              <w:rPr>
                <w:rFonts w:ascii="Times New Roman" w:hAnsi="Times New Roman" w:cs="宋体"/>
                <w:sz w:val="19"/>
                <w:szCs w:val="19"/>
                <w:lang w:bidi="ar"/>
              </w:rPr>
              <w:t>GB 4706.1-2005、</w:t>
            </w:r>
          </w:p>
          <w:p>
            <w:pPr>
              <w:jc w:val="center"/>
              <w:rPr>
                <w:rFonts w:ascii="Times New Roman" w:hAnsi="Times New Roman"/>
                <w:sz w:val="19"/>
                <w:szCs w:val="19"/>
              </w:rPr>
            </w:pPr>
            <w:r>
              <w:rPr>
                <w:rFonts w:ascii="Times New Roman" w:hAnsi="Times New Roman" w:cs="宋体"/>
                <w:sz w:val="19"/>
                <w:szCs w:val="19"/>
                <w:lang w:bidi="ar"/>
              </w:rPr>
              <w:t>GB 4706.33-2008、</w:t>
            </w:r>
          </w:p>
          <w:p>
            <w:pPr>
              <w:jc w:val="center"/>
              <w:rPr>
                <w:rFonts w:ascii="Times New Roman" w:hAnsi="Times New Roman"/>
                <w:sz w:val="19"/>
                <w:szCs w:val="19"/>
              </w:rPr>
            </w:pPr>
            <w:r>
              <w:rPr>
                <w:rFonts w:ascii="Times New Roman" w:hAnsi="Times New Roman" w:cs="宋体"/>
                <w:sz w:val="19"/>
                <w:szCs w:val="19"/>
                <w:lang w:bidi="ar"/>
              </w:rPr>
              <w:t>GB 4706.34-2008、</w:t>
            </w:r>
          </w:p>
          <w:p>
            <w:pPr>
              <w:jc w:val="center"/>
              <w:rPr>
                <w:rFonts w:ascii="Times New Roman" w:hAnsi="Times New Roman"/>
                <w:sz w:val="19"/>
                <w:szCs w:val="19"/>
              </w:rPr>
            </w:pPr>
            <w:r>
              <w:rPr>
                <w:rFonts w:ascii="Times New Roman" w:hAnsi="Times New Roman" w:cs="宋体"/>
                <w:sz w:val="19"/>
                <w:szCs w:val="19"/>
                <w:lang w:bidi="ar"/>
              </w:rPr>
              <w:t>GB 4706.35-2008、</w:t>
            </w:r>
          </w:p>
          <w:p>
            <w:pPr>
              <w:jc w:val="center"/>
              <w:rPr>
                <w:rFonts w:ascii="Times New Roman" w:hAnsi="Times New Roman"/>
                <w:sz w:val="19"/>
                <w:szCs w:val="19"/>
              </w:rPr>
            </w:pPr>
            <w:r>
              <w:rPr>
                <w:rFonts w:ascii="Times New Roman" w:hAnsi="Times New Roman" w:cs="宋体"/>
                <w:sz w:val="19"/>
                <w:szCs w:val="19"/>
                <w:lang w:bidi="ar"/>
              </w:rPr>
              <w:t>GB 4706.36-2014、</w:t>
            </w:r>
          </w:p>
          <w:p>
            <w:pPr>
              <w:jc w:val="center"/>
              <w:rPr>
                <w:rFonts w:ascii="Times New Roman" w:hAnsi="Times New Roman"/>
                <w:sz w:val="19"/>
                <w:szCs w:val="19"/>
              </w:rPr>
            </w:pPr>
            <w:r>
              <w:rPr>
                <w:rFonts w:ascii="Times New Roman" w:hAnsi="Times New Roman" w:cs="宋体"/>
                <w:sz w:val="19"/>
                <w:szCs w:val="19"/>
                <w:lang w:bidi="ar"/>
              </w:rPr>
              <w:t>GB 4706.37-2008、</w:t>
            </w:r>
          </w:p>
          <w:p>
            <w:pPr>
              <w:jc w:val="center"/>
              <w:rPr>
                <w:rFonts w:ascii="Times New Roman" w:hAnsi="Times New Roman"/>
                <w:sz w:val="19"/>
                <w:szCs w:val="19"/>
              </w:rPr>
            </w:pPr>
            <w:r>
              <w:rPr>
                <w:rFonts w:ascii="Times New Roman" w:hAnsi="Times New Roman" w:cs="宋体"/>
                <w:sz w:val="19"/>
                <w:szCs w:val="19"/>
                <w:lang w:bidi="ar"/>
              </w:rPr>
              <w:t>GB 4706.39-2008、</w:t>
            </w:r>
          </w:p>
          <w:p>
            <w:pPr>
              <w:jc w:val="center"/>
              <w:rPr>
                <w:rFonts w:ascii="Times New Roman" w:hAnsi="Times New Roman"/>
                <w:sz w:val="19"/>
                <w:szCs w:val="19"/>
              </w:rPr>
            </w:pPr>
            <w:r>
              <w:rPr>
                <w:rFonts w:ascii="Times New Roman" w:hAnsi="Times New Roman" w:cs="宋体"/>
                <w:sz w:val="19"/>
                <w:szCs w:val="19"/>
                <w:lang w:bidi="ar"/>
              </w:rPr>
              <w:t>GB 4706.40-2008、</w:t>
            </w:r>
          </w:p>
          <w:p>
            <w:pPr>
              <w:jc w:val="center"/>
              <w:rPr>
                <w:rFonts w:ascii="Times New Roman" w:hAnsi="Times New Roman"/>
                <w:sz w:val="19"/>
                <w:szCs w:val="19"/>
              </w:rPr>
            </w:pPr>
            <w:r>
              <w:rPr>
                <w:rFonts w:ascii="Times New Roman" w:hAnsi="Times New Roman" w:cs="宋体"/>
                <w:sz w:val="19"/>
                <w:szCs w:val="19"/>
                <w:lang w:bidi="ar"/>
              </w:rPr>
              <w:t>GB 4706.52-2008</w:t>
            </w:r>
          </w:p>
          <w:p>
            <w:pPr>
              <w:jc w:val="center"/>
              <w:rPr>
                <w:rFonts w:ascii="Times New Roman" w:hAnsi="Times New Roman" w:cs="宋体"/>
                <w:sz w:val="19"/>
                <w:szCs w:val="19"/>
                <w:lang w:bidi="ar"/>
              </w:rPr>
            </w:pPr>
            <w:r>
              <w:rPr>
                <w:rFonts w:ascii="Times New Roman" w:hAnsi="Times New Roman" w:cs="宋体"/>
                <w:sz w:val="19"/>
                <w:szCs w:val="19"/>
                <w:lang w:bidi="ar"/>
              </w:rPr>
              <w:t>上述标准第2</w:t>
            </w:r>
            <w:r>
              <w:rPr>
                <w:rFonts w:hint="eastAsia" w:ascii="Times New Roman" w:hAnsi="Times New Roman" w:cs="宋体"/>
                <w:sz w:val="19"/>
                <w:szCs w:val="19"/>
                <w:lang w:bidi="ar"/>
              </w:rPr>
              <w:t>9</w:t>
            </w:r>
            <w:r>
              <w:rPr>
                <w:rFonts w:ascii="Times New Roman" w:hAnsi="Times New Roman" w:cs="宋体"/>
                <w:sz w:val="19"/>
                <w:szCs w:val="19"/>
                <w:lang w:bidi="ar"/>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876" w:type="dxa"/>
            <w:gridSpan w:val="3"/>
            <w:noWrap w:val="0"/>
            <w:tcMar>
              <w:top w:w="48" w:type="dxa"/>
              <w:left w:w="48" w:type="dxa"/>
              <w:bottom w:w="48" w:type="dxa"/>
              <w:right w:w="48" w:type="dxa"/>
            </w:tcMar>
            <w:vAlign w:val="center"/>
          </w:tcPr>
          <w:p>
            <w:pPr>
              <w:rPr>
                <w:rFonts w:ascii="Times New Roman" w:hAnsi="Times New Roman"/>
                <w:sz w:val="19"/>
                <w:szCs w:val="19"/>
              </w:rPr>
            </w:pPr>
            <w:r>
              <w:rPr>
                <w:rFonts w:ascii="Times New Roman" w:hAnsi="Times New Roman" w:cs="宋体"/>
                <w:sz w:val="19"/>
                <w:szCs w:val="19"/>
                <w:lang w:bidi="ar"/>
              </w:rPr>
              <w:t>注：</w:t>
            </w:r>
          </w:p>
          <w:p>
            <w:pPr>
              <w:rPr>
                <w:rFonts w:ascii="Times New Roman" w:hAnsi="Times New Roman"/>
                <w:sz w:val="19"/>
                <w:szCs w:val="19"/>
              </w:rPr>
            </w:pPr>
            <w:r>
              <w:rPr>
                <w:rFonts w:ascii="Times New Roman" w:hAnsi="Times New Roman" w:cs="宋体"/>
                <w:sz w:val="19"/>
                <w:szCs w:val="19"/>
                <w:lang w:bidi="ar"/>
              </w:rPr>
              <w:t>1.序号1至序号</w:t>
            </w:r>
            <w:r>
              <w:rPr>
                <w:rFonts w:hint="eastAsia" w:ascii="Times New Roman" w:hAnsi="Times New Roman" w:cs="宋体"/>
                <w:sz w:val="19"/>
                <w:szCs w:val="19"/>
                <w:lang w:bidi="ar"/>
              </w:rPr>
              <w:t>8</w:t>
            </w:r>
            <w:r>
              <w:rPr>
                <w:rFonts w:ascii="Times New Roman" w:hAnsi="Times New Roman" w:cs="宋体"/>
                <w:sz w:val="19"/>
                <w:szCs w:val="19"/>
                <w:lang w:bidi="ar"/>
              </w:rPr>
              <w:t>的检验项目优先采用GB 31604.49-2016第二部分的第二法（电感耦合等离子发射光谱法）；</w:t>
            </w:r>
          </w:p>
          <w:p>
            <w:pPr>
              <w:rPr>
                <w:rFonts w:ascii="Times New Roman" w:hAnsi="Times New Roman"/>
                <w:sz w:val="19"/>
                <w:szCs w:val="19"/>
              </w:rPr>
            </w:pPr>
            <w:r>
              <w:rPr>
                <w:rFonts w:ascii="Times New Roman" w:hAnsi="Times New Roman" w:cs="宋体"/>
                <w:sz w:val="19"/>
                <w:szCs w:val="19"/>
                <w:lang w:bidi="ar"/>
              </w:rPr>
              <w:t>2.a马氏体型不锈钢材料及制品不检测铬指标。</w:t>
            </w:r>
          </w:p>
        </w:tc>
      </w:tr>
    </w:tbl>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检验应注意的问题：</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 w:cs="仿宋"/>
          <w:kern w:val="2"/>
          <w:sz w:val="32"/>
          <w:szCs w:val="32"/>
        </w:rPr>
        <w:t>①</w:t>
      </w:r>
      <w:r>
        <w:rPr>
          <w:rFonts w:hint="eastAsia" w:ascii="Times New Roman" w:hAnsi="Times New Roman" w:eastAsia="仿宋_GB2312" w:cs="仿宋_GB2312"/>
          <w:kern w:val="2"/>
          <w:sz w:val="32"/>
          <w:szCs w:val="32"/>
        </w:rPr>
        <w:t>被检产品明示的质量要求高于本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中检验项目依据的标准要求时，应按被检产品明示的质量要求判定。若被检产品明示的质量要求低于本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国家或行业强制性标准要求时，应按国家或行业强制性标准要求判定；若被检产品明示的质量要求低于或包含本细则中检验项目依据的推荐性标准要求时，应以被检产品明示的质量要求判定；若被检产品明示的质量要求缺少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中的检验项目（主要是产品通用重要特征值）时，应按本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中检验项目依据的标准要求进行检验并判定；若被检产品明示的质量要求缺少本规范中检验项目依据的推荐性标准要求时，该项目不参与判定，但应在检验报告备注中进行说明。</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②若样品出现封样状态破坏或样品异常损坏的情况，影响检验结果，则停止对该样品的检验。</w:t>
      </w: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ascii="Times New Roman" w:hAnsi="Times New Roman" w:eastAsia="黑体"/>
          <w:bCs/>
          <w:kern w:val="2"/>
          <w:sz w:val="32"/>
          <w:szCs w:val="32"/>
        </w:rPr>
      </w:pPr>
      <w:r>
        <w:rPr>
          <w:rFonts w:hint="eastAsia" w:ascii="Times New Roman" w:hAnsi="Times New Roman" w:eastAsia="黑体"/>
          <w:bCs/>
          <w:kern w:val="2"/>
          <w:sz w:val="32"/>
          <w:szCs w:val="32"/>
        </w:rPr>
        <w:t>5 判定原则</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经检验，检验项目全部合格，判定为被抽查产品合格；检验项目中任一项或一项以上不合格，判定为被抽查产品不合格。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6 异议处理复检</w:t>
      </w:r>
    </w:p>
    <w:p>
      <w:pPr>
        <w:keepNext w:val="0"/>
        <w:keepLines w:val="0"/>
        <w:pageBreakBefore w:val="0"/>
        <w:widowControl w:val="0"/>
        <w:kinsoku/>
        <w:wordWrap/>
        <w:overflowPunct/>
        <w:topLinePunct w:val="0"/>
        <w:bidi w:val="0"/>
        <w:snapToGrid/>
        <w:spacing w:line="600" w:lineRule="exact"/>
        <w:ind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对判定不合格产品进行复检时，按以下方式进行：</w:t>
      </w:r>
    </w:p>
    <w:p>
      <w:pPr>
        <w:keepNext w:val="0"/>
        <w:keepLines w:val="0"/>
        <w:pageBreakBefore w:val="0"/>
        <w:widowControl w:val="0"/>
        <w:kinsoku/>
        <w:wordWrap/>
        <w:overflowPunct/>
        <w:topLinePunct w:val="0"/>
        <w:bidi w:val="0"/>
        <w:snapToGrid/>
        <w:spacing w:line="600" w:lineRule="exact"/>
        <w:ind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核查不合格项目相关证据，能够以记录（纸质记录或电子记录或影像记录）或与不合格项目相关联的其它质量数据等检验证据证明。</w:t>
      </w:r>
    </w:p>
    <w:p>
      <w:pPr>
        <w:keepNext w:val="0"/>
        <w:keepLines w:val="0"/>
        <w:pageBreakBefore w:val="0"/>
        <w:widowControl w:val="0"/>
        <w:kinsoku/>
        <w:wordWrap/>
        <w:overflowPunct/>
        <w:topLinePunct w:val="0"/>
        <w:bidi w:val="0"/>
        <w:snapToGrid/>
        <w:spacing w:line="600" w:lineRule="exact"/>
        <w:ind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kern w:val="2"/>
          <w:sz w:val="32"/>
          <w:szCs w:val="32"/>
        </w:rPr>
        <w:t>需对不合格项目复检时，可以在原样上检验的在原样上复检，不可以在原样上检验的采用备用样复检。当复检结果仍不合格，维持原检验结果不变。当复检结果合格，以复检结果为准。</w:t>
      </w:r>
    </w:p>
    <w:p/>
    <w:sectPr>
      <w:pgSz w:w="11906" w:h="16838"/>
      <w:pgMar w:top="2098" w:right="1800"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E52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胡翌婧&amp;userId=089c2245-3540-4cda-8005-8eb0d4dc8848</cp:lastModifiedBy>
  <dcterms:modified xsi:type="dcterms:W3CDTF">2022-08-30T09:14:21Z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