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  <w:t>广东省医疗卫生信用修复申请书</w:t>
      </w:r>
    </w:p>
    <w:p>
      <w:pPr>
        <w:pStyle w:val="4"/>
        <w:widowControl/>
        <w:spacing w:line="540" w:lineRule="exact"/>
        <w:ind w:firstLine="632" w:firstLineChars="200"/>
        <w:jc w:val="center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shd w:val="clear" w:color="auto" w:fill="FFFFFF"/>
          <w:lang w:val="en-US" w:eastAsia="zh-CN"/>
        </w:rPr>
        <w:t>（参考样式）</w:t>
      </w:r>
    </w:p>
    <w:p>
      <w:pPr>
        <w:pStyle w:val="4"/>
        <w:widowControl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卫生健康局（委）：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本人（本单位）               符合《广东省医疗卫生信用信息管理办法（试行）》第三十四条规定，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>失信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>或严重失信信息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</w:rPr>
        <w:t>认定之日起至申请信用修复期间未产生新的记入信用档案的不良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eastAsia="zh-CN"/>
        </w:rPr>
        <w:t>记录，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现申请信用修复。并提供以下材料供审核：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="640" w:firstLineChars="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行政处理决定等明确的法定责任和义务履行完毕，社会不良影响基本消除的材料；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信用修复方式及相关材料：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64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作出信用承诺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完成信用整改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>接受专题培训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64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提交信用报告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参加公益慈善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>其他</w:t>
      </w:r>
    </w:p>
    <w:p>
      <w:pPr>
        <w:pStyle w:val="4"/>
        <w:widowControl/>
        <w:numPr>
          <w:ilvl w:val="0"/>
          <w:numId w:val="0"/>
        </w:numPr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numPr>
          <w:ilvl w:val="0"/>
          <w:numId w:val="0"/>
        </w:numPr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申请人：</w:t>
      </w:r>
    </w:p>
    <w:p>
      <w:pPr>
        <w:pStyle w:val="4"/>
        <w:widowControl/>
        <w:numPr>
          <w:ilvl w:val="0"/>
          <w:numId w:val="0"/>
        </w:numPr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年  月  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beforeAutospacing="0" w:after="0" w:afterAutospacing="0" w:line="70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  <w:t>广东省医疗卫生信用修复确认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shd w:val="clear" w:color="auto" w:fill="FFFFFF"/>
          <w:lang w:val="en-US" w:eastAsia="zh-CN"/>
        </w:rPr>
        <w:t>（不予确认）通知书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beforeAutospacing="0" w:after="292" w:afterLines="50" w:afterAutospacing="0" w:line="540" w:lineRule="exact"/>
        <w:ind w:firstLine="632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shd w:val="clear" w:color="auto" w:fill="FFFFFF"/>
          <w:lang w:val="en-US" w:eastAsia="zh-CN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（自然人）姓名：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证件类型及号码：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                          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住所（地址）：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　　　　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监护人姓名/名称：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证件类型及号码/统一社会信用代码：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住所（地址）：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（法人）名称：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　　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住所（地址）：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非法人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组织）名称：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统一社会信用代码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住所（地址）：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经对你本人（单位）信用修复申请情况进行核查：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>☐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认为你符合信用修复条件，予以信用修复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>☐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认为你不符合信用修复条件，不予信用修复，并提出如下意见：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372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88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（印章）</w:t>
      </w:r>
    </w:p>
    <w:p>
      <w:pPr>
        <w:spacing w:line="480" w:lineRule="exact"/>
        <w:ind w:firstLine="5372" w:firstLineChars="1700"/>
        <w:rPr>
          <w:rFonts w:hint="eastAsia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D87D0"/>
    <w:multiLevelType w:val="singleLevel"/>
    <w:tmpl w:val="BEFD87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39DC"/>
    <w:rsid w:val="42FC321C"/>
    <w:rsid w:val="73D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2022-05-25T03:15:00Z</dcterms:created>
  <dc:creator>user</dc:creator>
  <cp:lastModifiedBy>DDZA10450</cp:lastModifiedBy>
  <dcterms:modified xsi:type="dcterms:W3CDTF">2022-06-02T10:02:10Z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