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lang w:val="en-US" w:eastAsia="zh-CN"/>
        </w:rPr>
      </w:pPr>
      <w:r>
        <w:rPr>
          <w:rFonts w:hint="default" w:asciiTheme="minorEastAsia" w:hAnsiTheme="minorEastAsia" w:eastAsiaTheme="minorEastAsia" w:cstheme="minorEastAsia"/>
          <w:color w:val="auto"/>
          <w:kern w:val="2"/>
          <w:sz w:val="44"/>
          <w:szCs w:val="44"/>
          <w:lang w:val="en-US" w:eastAsia="zh-CN" w:bidi="ar-SA"/>
        </w:rPr>
        <w:t>广东省展会专利保护办法</w:t>
      </w:r>
    </w:p>
    <w:p>
      <w:pPr>
        <w:pStyle w:val="2"/>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r>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t>（2012年9月12日广东省人民政府令第173号公布 根据2022年4月11日广东省人民政府令第293号</w:t>
      </w:r>
      <w:bookmarkStart w:id="0" w:name="_GoBack"/>
      <w:bookmarkEnd w:id="0"/>
      <w:r>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t>修订）</w:t>
      </w:r>
    </w:p>
    <w:p>
      <w:pPr>
        <w:pStyle w:val="2"/>
        <w:spacing w:line="240" w:lineRule="auto"/>
        <w:ind w:left="0" w:leftChars="0" w:firstLine="0" w:firstLineChars="0"/>
        <w:rPr>
          <w:rFonts w:hint="eastAsia"/>
          <w:lang w:val="en-US" w:eastAsia="zh-CN"/>
        </w:rPr>
      </w:pPr>
    </w:p>
    <w:p>
      <w:pPr>
        <w:pStyle w:val="2"/>
        <w:spacing w:line="240" w:lineRule="auto"/>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第一章　总　则</w:t>
      </w:r>
    </w:p>
    <w:p>
      <w:pPr>
        <w:pStyle w:val="2"/>
        <w:spacing w:line="240" w:lineRule="auto"/>
        <w:rPr>
          <w:rFonts w:hint="eastAsia"/>
          <w:lang w:val="en-US" w:eastAsia="zh-CN"/>
        </w:rPr>
      </w:pPr>
    </w:p>
    <w:p>
      <w:pPr>
        <w:pStyle w:val="2"/>
        <w:spacing w:line="240" w:lineRule="auto"/>
        <w:rPr>
          <w:rFonts w:hint="eastAsia"/>
          <w:lang w:val="en-US" w:eastAsia="zh-CN"/>
        </w:rPr>
      </w:pPr>
      <w:r>
        <w:rPr>
          <w:rFonts w:hint="eastAsia" w:ascii="黑体" w:hAnsi="黑体" w:eastAsia="黑体" w:cs="黑体"/>
          <w:lang w:val="en-US" w:eastAsia="zh-CN"/>
        </w:rPr>
        <w:t>第一条</w:t>
      </w:r>
      <w:r>
        <w:rPr>
          <w:rFonts w:hint="eastAsia"/>
          <w:lang w:val="en-US" w:eastAsia="zh-CN"/>
        </w:rPr>
        <w:t>　为了加强展会专利保护，维护展会秩序，推动经济社会发展，根据《中华人民共和国专利法》、《广东省专利条例》和有关法律、法规，结合本省实际，制定本办法。</w:t>
      </w:r>
    </w:p>
    <w:p>
      <w:pPr>
        <w:pStyle w:val="2"/>
        <w:spacing w:line="240" w:lineRule="auto"/>
        <w:rPr>
          <w:rFonts w:hint="eastAsia"/>
          <w:lang w:val="en-US" w:eastAsia="zh-CN"/>
        </w:rPr>
      </w:pPr>
      <w:r>
        <w:rPr>
          <w:rFonts w:hint="eastAsia" w:ascii="黑体" w:hAnsi="黑体" w:eastAsia="黑体" w:cs="黑体"/>
          <w:lang w:val="en-US" w:eastAsia="zh-CN"/>
        </w:rPr>
        <w:t>第二条</w:t>
      </w:r>
      <w:r>
        <w:rPr>
          <w:rFonts w:hint="eastAsia"/>
          <w:lang w:val="en-US" w:eastAsia="zh-CN"/>
        </w:rPr>
        <w:t>　本省行政区域内举办的展会活动中有关专利的保护，适用本办法。</w:t>
      </w:r>
    </w:p>
    <w:p>
      <w:pPr>
        <w:pStyle w:val="2"/>
        <w:spacing w:line="240" w:lineRule="auto"/>
        <w:rPr>
          <w:rFonts w:hint="eastAsia"/>
          <w:lang w:val="en-US" w:eastAsia="zh-CN"/>
        </w:rPr>
      </w:pPr>
      <w:r>
        <w:rPr>
          <w:rFonts w:hint="eastAsia"/>
          <w:lang w:val="en-US" w:eastAsia="zh-CN"/>
        </w:rPr>
        <w:t>本办法所称的展会，是指展会主办方以招展的方式在固定场所和预定时期内举办的以展示、交易为目的的展览会、展销会、博览会、交易会、展示会等活动。</w:t>
      </w:r>
    </w:p>
    <w:p>
      <w:pPr>
        <w:pStyle w:val="2"/>
        <w:spacing w:line="240" w:lineRule="auto"/>
        <w:rPr>
          <w:rFonts w:hint="eastAsia"/>
          <w:lang w:val="en-US" w:eastAsia="zh-CN"/>
        </w:rPr>
      </w:pPr>
      <w:r>
        <w:rPr>
          <w:rFonts w:hint="eastAsia"/>
          <w:lang w:val="en-US" w:eastAsia="zh-CN"/>
        </w:rPr>
        <w:t>本办法所称的展会主办方（主办单位或者承办单位），是指与参展商签订参展合同或者其他形式的协议（以下简称参展合同），负责制定展会实施方案、计划和展会专利保护规则，对展会活动进行统筹、组织和安排，并对展会活动承担责任的单位。</w:t>
      </w:r>
    </w:p>
    <w:p>
      <w:pPr>
        <w:pStyle w:val="2"/>
        <w:spacing w:line="240" w:lineRule="auto"/>
        <w:rPr>
          <w:rFonts w:hint="eastAsia"/>
          <w:lang w:val="en-US" w:eastAsia="zh-CN"/>
        </w:rPr>
      </w:pPr>
      <w:r>
        <w:rPr>
          <w:rFonts w:hint="eastAsia"/>
          <w:lang w:val="en-US" w:eastAsia="zh-CN"/>
        </w:rPr>
        <w:t>本办法所称的展会专利投诉处理机构，是指由展会主办方设立的，负责调解处理展会期间专利侵权纠纷的工作机构。</w:t>
      </w:r>
    </w:p>
    <w:p>
      <w:pPr>
        <w:pStyle w:val="2"/>
        <w:spacing w:line="240" w:lineRule="auto"/>
        <w:rPr>
          <w:rFonts w:hint="eastAsia"/>
          <w:lang w:val="en-US" w:eastAsia="zh-CN"/>
        </w:rPr>
      </w:pPr>
      <w:r>
        <w:rPr>
          <w:rFonts w:hint="eastAsia" w:ascii="黑体" w:hAnsi="黑体" w:eastAsia="黑体" w:cs="黑体"/>
          <w:lang w:val="en-US" w:eastAsia="zh-CN"/>
        </w:rPr>
        <w:t>第三条</w:t>
      </w:r>
      <w:r>
        <w:rPr>
          <w:rFonts w:hint="eastAsia"/>
          <w:lang w:val="en-US" w:eastAsia="zh-CN"/>
        </w:rPr>
        <w:t>　展会专利保护应当遵循展会主办方负责、政府监管、社会公众监督的原则。</w:t>
      </w:r>
    </w:p>
    <w:p>
      <w:pPr>
        <w:pStyle w:val="2"/>
        <w:spacing w:line="240" w:lineRule="auto"/>
        <w:rPr>
          <w:rFonts w:hint="eastAsia"/>
          <w:lang w:val="en-US" w:eastAsia="zh-CN"/>
        </w:rPr>
      </w:pPr>
      <w:r>
        <w:rPr>
          <w:rFonts w:hint="eastAsia"/>
          <w:lang w:val="en-US" w:eastAsia="zh-CN"/>
        </w:rPr>
        <w:t>展会主办方应当与参展商签订参展合同，约定展会专利保护的相关条款，加强展会专利审查和保护工作。</w:t>
      </w:r>
    </w:p>
    <w:p>
      <w:pPr>
        <w:pStyle w:val="2"/>
        <w:spacing w:line="240" w:lineRule="auto"/>
        <w:rPr>
          <w:rFonts w:hint="eastAsia"/>
          <w:lang w:val="en-US" w:eastAsia="zh-CN"/>
        </w:rPr>
      </w:pPr>
      <w:r>
        <w:rPr>
          <w:rFonts w:hint="eastAsia"/>
          <w:lang w:val="en-US" w:eastAsia="zh-CN"/>
        </w:rPr>
        <w:t>参展商应当合法参展，不得有侵犯专利权和假冒专利行为。</w:t>
      </w:r>
    </w:p>
    <w:p>
      <w:pPr>
        <w:pStyle w:val="2"/>
        <w:spacing w:line="240" w:lineRule="auto"/>
        <w:rPr>
          <w:rFonts w:hint="eastAsia"/>
          <w:lang w:val="en-US" w:eastAsia="zh-CN"/>
        </w:rPr>
      </w:pPr>
      <w:r>
        <w:rPr>
          <w:rFonts w:hint="eastAsia" w:ascii="黑体" w:hAnsi="黑体" w:eastAsia="黑体" w:cs="黑体"/>
          <w:lang w:val="en-US" w:eastAsia="zh-CN"/>
        </w:rPr>
        <w:t>第四条</w:t>
      </w:r>
      <w:r>
        <w:rPr>
          <w:rFonts w:hint="eastAsia"/>
          <w:lang w:val="en-US" w:eastAsia="zh-CN"/>
        </w:rPr>
        <w:t>　县级以上人民政府专利行政部门负责指导、监督和管理本行政区域内的展会专利保护工作。</w:t>
      </w:r>
    </w:p>
    <w:p>
      <w:pPr>
        <w:pStyle w:val="2"/>
        <w:spacing w:line="240" w:lineRule="auto"/>
        <w:rPr>
          <w:rFonts w:hint="eastAsia"/>
          <w:lang w:val="en-US" w:eastAsia="zh-CN"/>
        </w:rPr>
      </w:pPr>
      <w:r>
        <w:rPr>
          <w:rFonts w:hint="eastAsia"/>
          <w:lang w:val="en-US" w:eastAsia="zh-CN"/>
        </w:rPr>
        <w:t>县级以上人民政府有关部门按照各自职责做好展会相关专利工作，维护展会正常秩序。</w:t>
      </w:r>
    </w:p>
    <w:p>
      <w:pPr>
        <w:pStyle w:val="2"/>
        <w:spacing w:line="240" w:lineRule="auto"/>
        <w:rPr>
          <w:rFonts w:hint="eastAsia"/>
          <w:lang w:val="en-US" w:eastAsia="zh-CN"/>
        </w:rPr>
      </w:pPr>
      <w:r>
        <w:rPr>
          <w:rFonts w:hint="eastAsia" w:ascii="黑体" w:hAnsi="黑体" w:eastAsia="黑体" w:cs="黑体"/>
          <w:lang w:val="en-US" w:eastAsia="zh-CN"/>
        </w:rPr>
        <w:t>第五条</w:t>
      </w:r>
      <w:r>
        <w:rPr>
          <w:rFonts w:hint="eastAsia"/>
          <w:lang w:val="en-US" w:eastAsia="zh-CN"/>
        </w:rPr>
        <w:t>　展会期间的专利侵权纠纷，专利权人或者利害关系人可以请求展会专利投诉处理机构或者专利行政部门调解，也可以请求展会所在地人民政府专利行政部门处理，或者直接向人民法院起诉。</w:t>
      </w:r>
    </w:p>
    <w:p>
      <w:pPr>
        <w:pStyle w:val="2"/>
        <w:keepNext w:val="0"/>
        <w:keepLines w:val="0"/>
        <w:pageBreakBefore w:val="0"/>
        <w:widowControl w:val="0"/>
        <w:kinsoku/>
        <w:wordWrap/>
        <w:overflowPunct/>
        <w:topLinePunct w:val="0"/>
        <w:autoSpaceDE/>
        <w:autoSpaceDN/>
        <w:bidi w:val="0"/>
        <w:adjustRightInd/>
        <w:snapToGrid/>
        <w:spacing w:line="240" w:lineRule="auto"/>
        <w:ind w:firstLine="624"/>
        <w:textAlignment w:val="baseline"/>
        <w:rPr>
          <w:rFonts w:hint="eastAsia"/>
          <w:lang w:val="en-US" w:eastAsia="zh-CN"/>
        </w:rPr>
      </w:pPr>
      <w:r>
        <w:rPr>
          <w:rFonts w:hint="eastAsia" w:ascii="黑体" w:hAnsi="黑体" w:eastAsia="黑体" w:cs="黑体"/>
          <w:lang w:val="en-US" w:eastAsia="zh-CN"/>
        </w:rPr>
        <w:t>第六条</w:t>
      </w:r>
      <w:r>
        <w:rPr>
          <w:rFonts w:hint="eastAsia"/>
          <w:lang w:val="en-US" w:eastAsia="zh-CN"/>
        </w:rPr>
        <w:t>　行业协会应当通过制定行业自律规范，开展宣传培训等方式，增强会员的专利保护意识，协助专利行政部门和展会主办方开展展会专利保护工作。</w:t>
      </w:r>
    </w:p>
    <w:p>
      <w:pPr>
        <w:pStyle w:val="2"/>
        <w:spacing w:line="240" w:lineRule="auto"/>
        <w:rPr>
          <w:rFonts w:hint="eastAsia"/>
          <w:lang w:val="en-US" w:eastAsia="zh-CN"/>
        </w:rPr>
      </w:pPr>
      <w:r>
        <w:rPr>
          <w:rFonts w:hint="eastAsia" w:ascii="黑体" w:hAnsi="黑体" w:eastAsia="黑体" w:cs="黑体"/>
          <w:lang w:val="en-US" w:eastAsia="zh-CN"/>
        </w:rPr>
        <w:t>第七条</w:t>
      </w:r>
      <w:r>
        <w:rPr>
          <w:rFonts w:hint="eastAsia"/>
          <w:lang w:val="en-US" w:eastAsia="zh-CN"/>
        </w:rPr>
        <w:t>　参展商、专利权人或者利害关系人应当遵守展会主办方制定的展会专利保护规则。</w:t>
      </w:r>
    </w:p>
    <w:p>
      <w:pPr>
        <w:pStyle w:val="2"/>
        <w:spacing w:line="240" w:lineRule="auto"/>
        <w:rPr>
          <w:rFonts w:hint="eastAsia"/>
          <w:lang w:val="en-US" w:eastAsia="zh-CN"/>
        </w:rPr>
      </w:pPr>
      <w:r>
        <w:rPr>
          <w:rFonts w:hint="eastAsia" w:ascii="黑体" w:hAnsi="黑体" w:eastAsia="黑体" w:cs="黑体"/>
          <w:lang w:val="en-US" w:eastAsia="zh-CN"/>
        </w:rPr>
        <w:t>第八条</w:t>
      </w:r>
      <w:r>
        <w:rPr>
          <w:rFonts w:hint="eastAsia"/>
          <w:lang w:val="en-US" w:eastAsia="zh-CN"/>
        </w:rPr>
        <w:t>　展会主办方和参展商应当接受专利行政部门的指导、监督和管理，配合专利行政部门的执法活动。</w:t>
      </w:r>
    </w:p>
    <w:p>
      <w:pPr>
        <w:pStyle w:val="2"/>
        <w:spacing w:line="240" w:lineRule="auto"/>
        <w:rPr>
          <w:rFonts w:hint="eastAsia"/>
          <w:lang w:val="en-US" w:eastAsia="zh-CN"/>
        </w:rPr>
      </w:pPr>
    </w:p>
    <w:p>
      <w:pPr>
        <w:pStyle w:val="2"/>
        <w:spacing w:line="240" w:lineRule="auto"/>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第二章  展会专利保护规范</w:t>
      </w:r>
    </w:p>
    <w:p>
      <w:pPr>
        <w:pStyle w:val="2"/>
        <w:spacing w:line="240" w:lineRule="auto"/>
        <w:rPr>
          <w:rFonts w:hint="eastAsia"/>
          <w:lang w:val="en-US" w:eastAsia="zh-CN"/>
        </w:rPr>
      </w:pPr>
    </w:p>
    <w:p>
      <w:pPr>
        <w:pStyle w:val="2"/>
        <w:spacing w:line="240" w:lineRule="auto"/>
        <w:rPr>
          <w:rFonts w:hint="eastAsia"/>
          <w:lang w:val="en-US" w:eastAsia="zh-CN"/>
        </w:rPr>
      </w:pPr>
      <w:r>
        <w:rPr>
          <w:rFonts w:hint="eastAsia" w:ascii="黑体" w:hAnsi="黑体" w:eastAsia="黑体" w:cs="黑体"/>
          <w:lang w:val="en-US" w:eastAsia="zh-CN"/>
        </w:rPr>
        <w:t>第九条</w:t>
      </w:r>
      <w:r>
        <w:rPr>
          <w:rFonts w:hint="eastAsia"/>
          <w:lang w:val="en-US" w:eastAsia="zh-CN"/>
        </w:rPr>
        <w:t>　展会主办方应当制定展会专利保护规则，并通过电子邮件、传真等方式及时向展会所在地人民政府专利行政部门进行告知性备案。</w:t>
      </w:r>
    </w:p>
    <w:p>
      <w:pPr>
        <w:pStyle w:val="2"/>
        <w:spacing w:line="240" w:lineRule="auto"/>
        <w:rPr>
          <w:rFonts w:hint="eastAsia"/>
          <w:lang w:val="en-US" w:eastAsia="zh-CN"/>
        </w:rPr>
      </w:pPr>
      <w:r>
        <w:rPr>
          <w:rFonts w:hint="eastAsia"/>
          <w:lang w:val="en-US" w:eastAsia="zh-CN"/>
        </w:rPr>
        <w:t>展会专利保护规则的主要内容应当包括：</w:t>
      </w:r>
    </w:p>
    <w:p>
      <w:pPr>
        <w:pStyle w:val="2"/>
        <w:spacing w:line="240" w:lineRule="auto"/>
        <w:rPr>
          <w:rFonts w:hint="eastAsia"/>
          <w:lang w:val="en-US" w:eastAsia="zh-CN"/>
        </w:rPr>
      </w:pPr>
      <w:r>
        <w:rPr>
          <w:rFonts w:hint="eastAsia"/>
          <w:lang w:val="en-US" w:eastAsia="zh-CN"/>
        </w:rPr>
        <w:t>（一）展会主办方设立的展会专利投诉处理机构、人员组成、职责；</w:t>
      </w:r>
    </w:p>
    <w:p>
      <w:pPr>
        <w:pStyle w:val="2"/>
        <w:spacing w:line="240" w:lineRule="auto"/>
        <w:rPr>
          <w:rFonts w:hint="eastAsia"/>
          <w:lang w:val="en-US" w:eastAsia="zh-CN"/>
        </w:rPr>
      </w:pPr>
      <w:r>
        <w:rPr>
          <w:rFonts w:hint="eastAsia"/>
          <w:lang w:val="en-US" w:eastAsia="zh-CN"/>
        </w:rPr>
        <w:t>（二）参展展品涉及专利的，参展商应当准备相关权利证明材料，并对展品的专利状况进行自查；</w:t>
      </w:r>
    </w:p>
    <w:p>
      <w:pPr>
        <w:pStyle w:val="2"/>
        <w:spacing w:line="240" w:lineRule="auto"/>
        <w:rPr>
          <w:rFonts w:hint="eastAsia"/>
          <w:lang w:val="en-US" w:eastAsia="zh-CN"/>
        </w:rPr>
      </w:pPr>
      <w:r>
        <w:rPr>
          <w:rFonts w:hint="eastAsia"/>
          <w:lang w:val="en-US" w:eastAsia="zh-CN"/>
        </w:rPr>
        <w:t>（三）展会主办方应当依法维护专利权人的合法权益，对参展展品进行查验，参展商应当予以配合。</w:t>
      </w:r>
    </w:p>
    <w:p>
      <w:pPr>
        <w:pStyle w:val="2"/>
        <w:keepNext w:val="0"/>
        <w:keepLines w:val="0"/>
        <w:pageBreakBefore w:val="0"/>
        <w:widowControl w:val="0"/>
        <w:kinsoku/>
        <w:wordWrap/>
        <w:overflowPunct/>
        <w:topLinePunct w:val="0"/>
        <w:autoSpaceDE/>
        <w:autoSpaceDN/>
        <w:bidi w:val="0"/>
        <w:adjustRightInd/>
        <w:snapToGrid/>
        <w:spacing w:line="240" w:lineRule="auto"/>
        <w:ind w:firstLine="624"/>
        <w:textAlignment w:val="baseline"/>
        <w:rPr>
          <w:rFonts w:hint="eastAsia"/>
          <w:lang w:val="en-US" w:eastAsia="zh-CN"/>
        </w:rPr>
      </w:pPr>
      <w:r>
        <w:rPr>
          <w:rFonts w:hint="eastAsia"/>
          <w:lang w:val="en-US" w:eastAsia="zh-CN"/>
        </w:rPr>
        <w:t>前款所称的参展展品，包括展品、展板、展台、产品及照片、目录册、视像资料，以及其他相关宣传资料。</w:t>
      </w:r>
    </w:p>
    <w:p>
      <w:pPr>
        <w:pStyle w:val="2"/>
        <w:spacing w:line="240" w:lineRule="auto"/>
        <w:rPr>
          <w:rFonts w:hint="eastAsia"/>
          <w:lang w:val="en-US" w:eastAsia="zh-CN"/>
        </w:rPr>
      </w:pPr>
      <w:r>
        <w:rPr>
          <w:rFonts w:hint="eastAsia" w:ascii="黑体" w:hAnsi="黑体" w:eastAsia="黑体" w:cs="黑体"/>
          <w:lang w:val="en-US" w:eastAsia="zh-CN"/>
        </w:rPr>
        <w:t>第十条</w:t>
      </w:r>
      <w:r>
        <w:rPr>
          <w:rFonts w:hint="eastAsia"/>
          <w:lang w:val="en-US" w:eastAsia="zh-CN"/>
        </w:rPr>
        <w:t>　展会主办方应当履行下列职责：</w:t>
      </w:r>
    </w:p>
    <w:p>
      <w:pPr>
        <w:pStyle w:val="2"/>
        <w:spacing w:line="240" w:lineRule="auto"/>
        <w:rPr>
          <w:rFonts w:hint="eastAsia"/>
          <w:lang w:val="en-US" w:eastAsia="zh-CN"/>
        </w:rPr>
      </w:pPr>
      <w:r>
        <w:rPr>
          <w:rFonts w:hint="eastAsia"/>
          <w:lang w:val="en-US" w:eastAsia="zh-CN"/>
        </w:rPr>
        <w:t>（一）在展会显著位置和参展商手册上公布展会专利投诉处理机构或者专利行政部门的地点、联系方式、投诉途径和专利保护规则等信息；</w:t>
      </w:r>
    </w:p>
    <w:p>
      <w:pPr>
        <w:pStyle w:val="2"/>
        <w:spacing w:line="240" w:lineRule="auto"/>
        <w:rPr>
          <w:rFonts w:hint="eastAsia"/>
          <w:lang w:val="en-US" w:eastAsia="zh-CN"/>
        </w:rPr>
      </w:pPr>
      <w:r>
        <w:rPr>
          <w:rFonts w:hint="eastAsia"/>
          <w:lang w:val="en-US" w:eastAsia="zh-CN"/>
        </w:rPr>
        <w:t>（二）设立展会专利投诉处理机构，接受专利权人或者利害关系人的投诉，对展会中发生的专利侵权纠纷进行调解处理；</w:t>
      </w:r>
    </w:p>
    <w:p>
      <w:pPr>
        <w:pStyle w:val="2"/>
        <w:spacing w:line="240" w:lineRule="auto"/>
        <w:rPr>
          <w:rFonts w:hint="eastAsia"/>
          <w:lang w:val="en-US" w:eastAsia="zh-CN"/>
        </w:rPr>
      </w:pPr>
      <w:r>
        <w:rPr>
          <w:rFonts w:hint="eastAsia"/>
          <w:lang w:val="en-US" w:eastAsia="zh-CN"/>
        </w:rPr>
        <w:t>（三）参展展品涉嫌假冒专利或者重复侵权的，及时移交专利行政部门依法处理；</w:t>
      </w:r>
    </w:p>
    <w:p>
      <w:pPr>
        <w:pStyle w:val="2"/>
        <w:spacing w:line="240" w:lineRule="auto"/>
        <w:rPr>
          <w:rFonts w:hint="eastAsia"/>
          <w:lang w:val="en-US" w:eastAsia="zh-CN"/>
        </w:rPr>
      </w:pPr>
      <w:r>
        <w:rPr>
          <w:rFonts w:hint="eastAsia"/>
          <w:lang w:val="en-US" w:eastAsia="zh-CN"/>
        </w:rPr>
        <w:t>（四）完整保存展会的专利保护信息与档案资料，自展会举办之日起保存不少于3年，并应当在展会结束之日起30日内按照专利行政部门的要求以电子邮件或者传真等方式报送信息。</w:t>
      </w:r>
    </w:p>
    <w:p>
      <w:pPr>
        <w:pStyle w:val="2"/>
        <w:spacing w:line="240" w:lineRule="auto"/>
        <w:rPr>
          <w:rFonts w:hint="eastAsia"/>
          <w:lang w:val="en-US" w:eastAsia="zh-CN"/>
        </w:rPr>
      </w:pPr>
      <w:r>
        <w:rPr>
          <w:rFonts w:hint="eastAsia" w:ascii="黑体" w:hAnsi="黑体" w:eastAsia="黑体" w:cs="黑体"/>
          <w:lang w:val="en-US" w:eastAsia="zh-CN"/>
        </w:rPr>
        <w:t>第十一条</w:t>
      </w:r>
      <w:r>
        <w:rPr>
          <w:rFonts w:hint="eastAsia"/>
          <w:lang w:val="en-US" w:eastAsia="zh-CN"/>
        </w:rPr>
        <w:t>　展会主办方应当建立专利公示制度，并将参展展品中涉及的专利以数据库、目录或者其他形式予以公布，涉及商业秘密的除外。</w:t>
      </w:r>
    </w:p>
    <w:p>
      <w:pPr>
        <w:pStyle w:val="2"/>
        <w:spacing w:line="240" w:lineRule="auto"/>
        <w:rPr>
          <w:rFonts w:hint="eastAsia"/>
          <w:lang w:val="en-US" w:eastAsia="zh-CN"/>
        </w:rPr>
      </w:pPr>
      <w:r>
        <w:rPr>
          <w:rFonts w:hint="eastAsia" w:ascii="黑体" w:hAnsi="黑体" w:eastAsia="黑体" w:cs="黑体"/>
          <w:lang w:val="en-US" w:eastAsia="zh-CN"/>
        </w:rPr>
        <w:t>第十二条</w:t>
      </w:r>
      <w:r>
        <w:rPr>
          <w:rFonts w:hint="eastAsia"/>
          <w:lang w:val="en-US" w:eastAsia="zh-CN"/>
        </w:rPr>
        <w:t>　展会主办方应当与参展商签订参展合同，参展合同应当包括以下主要专利保护条款：</w:t>
      </w:r>
    </w:p>
    <w:p>
      <w:pPr>
        <w:pStyle w:val="2"/>
        <w:spacing w:line="240" w:lineRule="auto"/>
        <w:rPr>
          <w:rFonts w:hint="eastAsia"/>
          <w:lang w:val="en-US" w:eastAsia="zh-CN"/>
        </w:rPr>
      </w:pPr>
      <w:r>
        <w:rPr>
          <w:rFonts w:hint="eastAsia"/>
          <w:lang w:val="en-US" w:eastAsia="zh-CN"/>
        </w:rPr>
        <w:t>（一）参展商应当遵守展会的专利保护规则；</w:t>
      </w:r>
    </w:p>
    <w:p>
      <w:pPr>
        <w:pStyle w:val="2"/>
        <w:keepNext w:val="0"/>
        <w:keepLines w:val="0"/>
        <w:pageBreakBefore w:val="0"/>
        <w:widowControl w:val="0"/>
        <w:kinsoku/>
        <w:wordWrap/>
        <w:overflowPunct/>
        <w:topLinePunct w:val="0"/>
        <w:autoSpaceDE/>
        <w:autoSpaceDN/>
        <w:bidi w:val="0"/>
        <w:adjustRightInd/>
        <w:snapToGrid/>
        <w:spacing w:line="240" w:lineRule="auto"/>
        <w:ind w:firstLine="624"/>
        <w:textAlignment w:val="baseline"/>
        <w:rPr>
          <w:rFonts w:hint="eastAsia"/>
          <w:lang w:val="en-US" w:eastAsia="zh-CN"/>
        </w:rPr>
      </w:pPr>
      <w:r>
        <w:rPr>
          <w:rFonts w:hint="eastAsia"/>
          <w:lang w:val="en-US" w:eastAsia="zh-CN"/>
        </w:rPr>
        <w:t>（二）参展商应当接受展会专利投诉调解，拒绝配合调解的，展会主办方可以按照约定解除合同，取消参展；</w:t>
      </w:r>
    </w:p>
    <w:p>
      <w:pPr>
        <w:pStyle w:val="2"/>
        <w:spacing w:line="240" w:lineRule="auto"/>
        <w:rPr>
          <w:rFonts w:hint="eastAsia"/>
          <w:lang w:val="en-US" w:eastAsia="zh-CN"/>
        </w:rPr>
      </w:pPr>
      <w:r>
        <w:rPr>
          <w:rFonts w:hint="eastAsia"/>
          <w:lang w:val="en-US" w:eastAsia="zh-CN"/>
        </w:rPr>
        <w:t>（三）经展会专利投诉处理机构调解认为涉嫌专利侵权并禁止展出的参展展品，参展商拒绝采取遮盖、撤架、封存相关宣传资料、更换展板等撤展措施的，展会主办方可以按照约定解除合同，取消参展；</w:t>
      </w:r>
    </w:p>
    <w:p>
      <w:pPr>
        <w:pStyle w:val="2"/>
        <w:spacing w:line="240" w:lineRule="auto"/>
        <w:rPr>
          <w:rFonts w:hint="eastAsia"/>
          <w:lang w:val="en-US" w:eastAsia="zh-CN"/>
        </w:rPr>
      </w:pPr>
      <w:r>
        <w:rPr>
          <w:rFonts w:hint="eastAsia"/>
          <w:lang w:val="en-US" w:eastAsia="zh-CN"/>
        </w:rPr>
        <w:t>（四）参展商对专利权人或者利害关系人投诉其涉嫌专利侵权行为的，应当接受专利行政部门的简易程序处理；</w:t>
      </w:r>
    </w:p>
    <w:p>
      <w:pPr>
        <w:pStyle w:val="2"/>
        <w:spacing w:line="240" w:lineRule="auto"/>
        <w:rPr>
          <w:rFonts w:hint="eastAsia"/>
          <w:lang w:val="en-US" w:eastAsia="zh-CN"/>
        </w:rPr>
      </w:pPr>
      <w:r>
        <w:rPr>
          <w:rFonts w:hint="eastAsia"/>
          <w:lang w:val="en-US" w:eastAsia="zh-CN"/>
        </w:rPr>
        <w:t>（五）展品被专利行政部门或者人民法院认定为侵犯专利权的，参展商拒绝采取遮盖、撤架、封存相关宣传资料、更换展板等撤展措施时，展会主办方可以按照约定解除合同，取消参展；</w:t>
      </w:r>
    </w:p>
    <w:p>
      <w:pPr>
        <w:pStyle w:val="2"/>
        <w:spacing w:line="240" w:lineRule="auto"/>
        <w:rPr>
          <w:rFonts w:hint="eastAsia"/>
          <w:lang w:val="en-US" w:eastAsia="zh-CN"/>
        </w:rPr>
      </w:pPr>
      <w:r>
        <w:rPr>
          <w:rFonts w:hint="eastAsia"/>
          <w:lang w:val="en-US" w:eastAsia="zh-CN"/>
        </w:rPr>
        <w:t>（六）与展会专利保护有关的其他内容。</w:t>
      </w:r>
    </w:p>
    <w:p>
      <w:pPr>
        <w:pStyle w:val="2"/>
        <w:spacing w:line="240" w:lineRule="auto"/>
        <w:rPr>
          <w:rFonts w:hint="eastAsia"/>
          <w:lang w:val="en-US" w:eastAsia="zh-CN"/>
        </w:rPr>
      </w:pPr>
      <w:r>
        <w:rPr>
          <w:rFonts w:hint="eastAsia" w:ascii="黑体" w:hAnsi="黑体" w:eastAsia="黑体" w:cs="黑体"/>
          <w:lang w:val="en-US" w:eastAsia="zh-CN"/>
        </w:rPr>
        <w:t>第十三条</w:t>
      </w:r>
      <w:r>
        <w:rPr>
          <w:rFonts w:hint="eastAsia"/>
          <w:lang w:val="en-US" w:eastAsia="zh-CN"/>
        </w:rPr>
        <w:t>　涉及专利的参展合同范本，由省人民政府专利行政部门制定，在其门户网站上公布，并供免费下载使用。</w:t>
      </w:r>
    </w:p>
    <w:p>
      <w:pPr>
        <w:pStyle w:val="2"/>
        <w:spacing w:line="240" w:lineRule="auto"/>
        <w:rPr>
          <w:rFonts w:hint="eastAsia"/>
          <w:lang w:val="en-US" w:eastAsia="zh-CN"/>
        </w:rPr>
      </w:pPr>
      <w:r>
        <w:rPr>
          <w:rFonts w:hint="eastAsia" w:ascii="黑体" w:hAnsi="黑体" w:eastAsia="黑体" w:cs="黑体"/>
          <w:lang w:val="en-US" w:eastAsia="zh-CN"/>
        </w:rPr>
        <w:t>第十四条</w:t>
      </w:r>
      <w:r>
        <w:rPr>
          <w:rFonts w:hint="eastAsia"/>
          <w:lang w:val="en-US" w:eastAsia="zh-CN"/>
        </w:rPr>
        <w:t>　展会专利侵权纠纷当事人委托代理人的，应当提交委托人签名或者盖章的授权委托书，授权委托书必须记明委托事项和权限。对代为承认、放弃、变更投诉请求，进行和解的，必须有委托人的特别授权。</w:t>
      </w:r>
    </w:p>
    <w:p>
      <w:pPr>
        <w:pStyle w:val="2"/>
        <w:keepNext w:val="0"/>
        <w:keepLines w:val="0"/>
        <w:pageBreakBefore w:val="0"/>
        <w:widowControl w:val="0"/>
        <w:kinsoku/>
        <w:wordWrap/>
        <w:overflowPunct/>
        <w:topLinePunct w:val="0"/>
        <w:autoSpaceDE/>
        <w:autoSpaceDN/>
        <w:bidi w:val="0"/>
        <w:adjustRightInd/>
        <w:snapToGrid/>
        <w:spacing w:line="240" w:lineRule="auto"/>
        <w:ind w:firstLine="624"/>
        <w:textAlignment w:val="baseline"/>
        <w:rPr>
          <w:rFonts w:hint="eastAsia"/>
          <w:lang w:val="en-US" w:eastAsia="zh-CN"/>
        </w:rPr>
      </w:pPr>
      <w:r>
        <w:rPr>
          <w:rFonts w:hint="eastAsia"/>
          <w:lang w:val="en-US" w:eastAsia="zh-CN"/>
        </w:rPr>
        <w:t>外国人、外国企业或者外国其他组织在展会期间对专利侵权纠纷提出调解或者处理请求的，应当委托依法设立的中国专利代理机构或者律师事务所办理。</w:t>
      </w:r>
    </w:p>
    <w:p>
      <w:pPr>
        <w:pStyle w:val="2"/>
        <w:spacing w:line="240" w:lineRule="auto"/>
        <w:rPr>
          <w:rFonts w:hint="eastAsia"/>
          <w:lang w:val="en-US" w:eastAsia="zh-CN"/>
        </w:rPr>
      </w:pPr>
      <w:r>
        <w:rPr>
          <w:rFonts w:hint="eastAsia" w:ascii="黑体" w:hAnsi="黑体" w:eastAsia="黑体" w:cs="黑体"/>
          <w:lang w:val="en-US" w:eastAsia="zh-CN"/>
        </w:rPr>
        <w:t>第十五条</w:t>
      </w:r>
      <w:r>
        <w:rPr>
          <w:rFonts w:hint="eastAsia"/>
          <w:lang w:val="en-US" w:eastAsia="zh-CN"/>
        </w:rPr>
        <w:t>　专利行政部门应当加强展会专利的保护，在展会举办期间，应当以巡查等管理方式督促展会主办方和参展商履行专利保护的义务，抽查有专利标识的展品，对涉嫌假冒专利的展品予以及时处理。</w:t>
      </w:r>
    </w:p>
    <w:p>
      <w:pPr>
        <w:pStyle w:val="2"/>
        <w:spacing w:line="240" w:lineRule="auto"/>
        <w:rPr>
          <w:rFonts w:hint="eastAsia"/>
          <w:lang w:val="en-US" w:eastAsia="zh-CN"/>
        </w:rPr>
      </w:pPr>
      <w:r>
        <w:rPr>
          <w:rFonts w:hint="eastAsia" w:ascii="黑体" w:hAnsi="黑体" w:eastAsia="黑体" w:cs="黑体"/>
          <w:lang w:val="en-US" w:eastAsia="zh-CN"/>
        </w:rPr>
        <w:t>第十六条</w:t>
      </w:r>
      <w:r>
        <w:rPr>
          <w:rFonts w:hint="eastAsia"/>
          <w:lang w:val="en-US" w:eastAsia="zh-CN"/>
        </w:rPr>
        <w:t>　专利行政部门应当指导、监督展会主办方按本办法要求设立展会专利投诉处理机构，并要求展会主办方在展馆显著位置或者参展手册上公布展会专利投诉处理机构的地点、联系方式和专利保护规则等信息。</w:t>
      </w:r>
    </w:p>
    <w:p>
      <w:pPr>
        <w:pStyle w:val="2"/>
        <w:spacing w:line="240" w:lineRule="auto"/>
        <w:rPr>
          <w:rFonts w:hint="eastAsia"/>
          <w:lang w:val="en-US" w:eastAsia="zh-CN"/>
        </w:rPr>
      </w:pPr>
    </w:p>
    <w:p>
      <w:pPr>
        <w:pStyle w:val="2"/>
        <w:spacing w:line="240" w:lineRule="auto"/>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第三章　展会专利侵权纠纷调解</w:t>
      </w:r>
    </w:p>
    <w:p>
      <w:pPr>
        <w:pStyle w:val="2"/>
        <w:spacing w:line="240" w:lineRule="auto"/>
        <w:rPr>
          <w:rFonts w:hint="eastAsia"/>
          <w:lang w:val="en-US" w:eastAsia="zh-CN"/>
        </w:rPr>
      </w:pPr>
    </w:p>
    <w:p>
      <w:pPr>
        <w:pStyle w:val="2"/>
        <w:spacing w:line="240" w:lineRule="auto"/>
        <w:rPr>
          <w:rFonts w:hint="eastAsia"/>
          <w:lang w:val="en-US" w:eastAsia="zh-CN"/>
        </w:rPr>
      </w:pPr>
      <w:r>
        <w:rPr>
          <w:rFonts w:hint="eastAsia" w:ascii="黑体" w:hAnsi="黑体" w:eastAsia="黑体" w:cs="黑体"/>
          <w:lang w:val="en-US" w:eastAsia="zh-CN"/>
        </w:rPr>
        <w:t>第十七条</w:t>
      </w:r>
      <w:r>
        <w:rPr>
          <w:rFonts w:hint="eastAsia"/>
          <w:lang w:val="en-US" w:eastAsia="zh-CN"/>
        </w:rPr>
        <w:t>　向展会专利投诉处理机构投诉的，应当提交以下材料：</w:t>
      </w:r>
    </w:p>
    <w:p>
      <w:pPr>
        <w:pStyle w:val="2"/>
        <w:spacing w:line="240" w:lineRule="auto"/>
        <w:rPr>
          <w:rFonts w:hint="eastAsia"/>
          <w:lang w:val="en-US" w:eastAsia="zh-CN"/>
        </w:rPr>
      </w:pPr>
      <w:r>
        <w:rPr>
          <w:rFonts w:hint="eastAsia"/>
          <w:lang w:val="en-US" w:eastAsia="zh-CN"/>
        </w:rPr>
        <w:t>（一）投诉申请书，包括投诉人与被投诉参展商（下称被投诉人）的基本情况、投诉请求和所依据的事实及理由；</w:t>
      </w:r>
    </w:p>
    <w:p>
      <w:pPr>
        <w:pStyle w:val="2"/>
        <w:spacing w:line="240" w:lineRule="auto"/>
        <w:rPr>
          <w:rFonts w:hint="eastAsia"/>
          <w:lang w:val="en-US" w:eastAsia="zh-CN"/>
        </w:rPr>
      </w:pPr>
      <w:r>
        <w:rPr>
          <w:rFonts w:hint="eastAsia"/>
          <w:lang w:val="en-US" w:eastAsia="zh-CN"/>
        </w:rPr>
        <w:t>（二）合法有效的权属证明，包括专利证书、专利公告文本、专利权人的身份证明、专利法律状态证明；</w:t>
      </w:r>
    </w:p>
    <w:p>
      <w:pPr>
        <w:pStyle w:val="2"/>
        <w:spacing w:line="240" w:lineRule="auto"/>
        <w:rPr>
          <w:rFonts w:hint="eastAsia"/>
          <w:lang w:val="en-US" w:eastAsia="zh-CN"/>
        </w:rPr>
      </w:pPr>
      <w:r>
        <w:rPr>
          <w:rFonts w:hint="eastAsia"/>
          <w:lang w:val="en-US" w:eastAsia="zh-CN"/>
        </w:rPr>
        <w:t>（三）其他相关证据材料。</w:t>
      </w:r>
    </w:p>
    <w:p>
      <w:pPr>
        <w:pStyle w:val="2"/>
        <w:spacing w:line="240" w:lineRule="auto"/>
        <w:rPr>
          <w:rFonts w:hint="eastAsia"/>
          <w:lang w:val="en-US" w:eastAsia="zh-CN"/>
        </w:rPr>
      </w:pPr>
      <w:r>
        <w:rPr>
          <w:rFonts w:hint="eastAsia" w:ascii="黑体" w:hAnsi="黑体" w:eastAsia="黑体" w:cs="黑体"/>
          <w:lang w:val="en-US" w:eastAsia="zh-CN"/>
        </w:rPr>
        <w:t>第十八条</w:t>
      </w:r>
      <w:r>
        <w:rPr>
          <w:rFonts w:hint="eastAsia"/>
          <w:lang w:val="en-US" w:eastAsia="zh-CN"/>
        </w:rPr>
        <w:t>　专利行政部门应当建立专利保护专家库，为展会提供服务。专家库由知识产权、法律及相关领域的专家组成。</w:t>
      </w:r>
    </w:p>
    <w:p>
      <w:pPr>
        <w:pStyle w:val="2"/>
        <w:spacing w:line="240" w:lineRule="auto"/>
        <w:rPr>
          <w:rFonts w:hint="eastAsia"/>
          <w:lang w:val="en-US" w:eastAsia="zh-CN"/>
        </w:rPr>
      </w:pPr>
      <w:r>
        <w:rPr>
          <w:rFonts w:hint="eastAsia"/>
          <w:lang w:val="en-US" w:eastAsia="zh-CN"/>
        </w:rPr>
        <w:t>展会主办方设立的展会专利投诉处理机构，依据参展合同的专利保护条款调解展会期间的专利侵权纠纷。其组成人员不得少于3人，可以从专利行政部门的专家库中选聘，也可以请求专利行政部门指派或者聘请相关领域的专家。</w:t>
      </w:r>
    </w:p>
    <w:p>
      <w:pPr>
        <w:pStyle w:val="2"/>
        <w:spacing w:line="240" w:lineRule="auto"/>
        <w:rPr>
          <w:rFonts w:hint="eastAsia"/>
          <w:lang w:val="en-US" w:eastAsia="zh-CN"/>
        </w:rPr>
      </w:pPr>
      <w:r>
        <w:rPr>
          <w:rFonts w:hint="eastAsia" w:ascii="黑体" w:hAnsi="黑体" w:eastAsia="黑体" w:cs="黑体"/>
          <w:lang w:val="en-US" w:eastAsia="zh-CN"/>
        </w:rPr>
        <w:t>第十九条</w:t>
      </w:r>
      <w:r>
        <w:rPr>
          <w:rFonts w:hint="eastAsia"/>
          <w:lang w:val="en-US" w:eastAsia="zh-CN"/>
        </w:rPr>
        <w:t>　展会专利投诉处理机构调解人员与专利侵权纠纷有利害关系的，应当回避。</w:t>
      </w:r>
    </w:p>
    <w:p>
      <w:pPr>
        <w:pStyle w:val="2"/>
        <w:spacing w:line="240" w:lineRule="auto"/>
        <w:rPr>
          <w:rFonts w:hint="eastAsia"/>
          <w:lang w:val="en-US" w:eastAsia="zh-CN"/>
        </w:rPr>
      </w:pPr>
      <w:r>
        <w:rPr>
          <w:rFonts w:hint="eastAsia" w:ascii="黑体" w:hAnsi="黑体" w:eastAsia="黑体" w:cs="黑体"/>
          <w:lang w:val="en-US" w:eastAsia="zh-CN"/>
        </w:rPr>
        <w:t>第二十条</w:t>
      </w:r>
      <w:r>
        <w:rPr>
          <w:rFonts w:hint="eastAsia"/>
          <w:lang w:val="en-US" w:eastAsia="zh-CN"/>
        </w:rPr>
        <w:t>　展会专利投诉处理机构根据本办法第九条和第十二条的规定，履行以下职责：</w:t>
      </w:r>
    </w:p>
    <w:p>
      <w:pPr>
        <w:pStyle w:val="2"/>
        <w:spacing w:line="240" w:lineRule="auto"/>
        <w:rPr>
          <w:rFonts w:hint="eastAsia"/>
          <w:lang w:val="en-US" w:eastAsia="zh-CN"/>
        </w:rPr>
      </w:pPr>
      <w:r>
        <w:rPr>
          <w:rFonts w:hint="eastAsia"/>
          <w:lang w:val="en-US" w:eastAsia="zh-CN"/>
        </w:rPr>
        <w:t>（一）接受展会专利侵权纠纷投诉；</w:t>
      </w:r>
    </w:p>
    <w:p>
      <w:pPr>
        <w:pStyle w:val="2"/>
        <w:spacing w:line="240" w:lineRule="auto"/>
        <w:rPr>
          <w:rFonts w:hint="eastAsia"/>
          <w:lang w:val="en-US" w:eastAsia="zh-CN"/>
        </w:rPr>
      </w:pPr>
      <w:r>
        <w:rPr>
          <w:rFonts w:hint="eastAsia"/>
          <w:lang w:val="en-US" w:eastAsia="zh-CN"/>
        </w:rPr>
        <w:t>（二）对投诉进行调查核实；</w:t>
      </w:r>
    </w:p>
    <w:p>
      <w:pPr>
        <w:pStyle w:val="2"/>
        <w:spacing w:line="240" w:lineRule="auto"/>
        <w:rPr>
          <w:rFonts w:hint="eastAsia"/>
          <w:lang w:val="en-US" w:eastAsia="zh-CN"/>
        </w:rPr>
      </w:pPr>
      <w:r>
        <w:rPr>
          <w:rFonts w:hint="eastAsia"/>
          <w:lang w:val="en-US" w:eastAsia="zh-CN"/>
        </w:rPr>
        <w:t>（三）组织投诉人与被投诉人进行调解；</w:t>
      </w:r>
    </w:p>
    <w:p>
      <w:pPr>
        <w:pStyle w:val="2"/>
        <w:spacing w:line="240" w:lineRule="auto"/>
        <w:rPr>
          <w:rFonts w:hint="eastAsia"/>
          <w:lang w:val="en-US" w:eastAsia="zh-CN"/>
        </w:rPr>
      </w:pPr>
      <w:r>
        <w:rPr>
          <w:rFonts w:hint="eastAsia"/>
          <w:lang w:val="en-US" w:eastAsia="zh-CN"/>
        </w:rPr>
        <w:t>（四）根据调查查明情况或者调解情况向展会主办方提出是否继续履行参展合同的意见。</w:t>
      </w:r>
    </w:p>
    <w:p>
      <w:pPr>
        <w:pStyle w:val="2"/>
        <w:spacing w:line="240" w:lineRule="auto"/>
        <w:rPr>
          <w:rFonts w:hint="eastAsia"/>
          <w:lang w:val="en-US" w:eastAsia="zh-CN"/>
        </w:rPr>
      </w:pPr>
      <w:r>
        <w:rPr>
          <w:rFonts w:hint="eastAsia" w:ascii="黑体" w:hAnsi="黑体" w:eastAsia="黑体" w:cs="黑体"/>
          <w:lang w:val="en-US" w:eastAsia="zh-CN"/>
        </w:rPr>
        <w:t>第二十一条</w:t>
      </w:r>
      <w:r>
        <w:rPr>
          <w:rFonts w:hint="eastAsia"/>
          <w:lang w:val="en-US" w:eastAsia="zh-CN"/>
        </w:rPr>
        <w:t>　展会专利投诉处理机构接受投诉后，应当到被投诉人的展位进行现场调查、送达相关文书，听取双方当事人意见，查明事实、分清是非责任，组织双方当事人进行调解。</w:t>
      </w:r>
    </w:p>
    <w:p>
      <w:pPr>
        <w:pStyle w:val="2"/>
        <w:keepNext w:val="0"/>
        <w:keepLines w:val="0"/>
        <w:pageBreakBefore w:val="0"/>
        <w:widowControl w:val="0"/>
        <w:kinsoku/>
        <w:wordWrap/>
        <w:overflowPunct/>
        <w:topLinePunct w:val="0"/>
        <w:autoSpaceDE/>
        <w:autoSpaceDN/>
        <w:bidi w:val="0"/>
        <w:adjustRightInd/>
        <w:snapToGrid/>
        <w:spacing w:line="240" w:lineRule="auto"/>
        <w:ind w:firstLine="624"/>
        <w:textAlignment w:val="baseline"/>
        <w:rPr>
          <w:rFonts w:hint="eastAsia" w:ascii="黑体" w:hAnsi="黑体" w:eastAsia="黑体" w:cs="黑体"/>
          <w:lang w:val="en-US" w:eastAsia="zh-CN"/>
        </w:rPr>
      </w:pPr>
      <w:r>
        <w:rPr>
          <w:rFonts w:hint="eastAsia"/>
          <w:lang w:val="en-US" w:eastAsia="zh-CN"/>
        </w:rPr>
        <w:t>调解达成协议的，应当当场制作调解协议书，并由双方当事人签收后发生效力；不接受调解或者调解不能达成协议的，展会主办方应当按照参展合同的约定进行处理。</w:t>
      </w:r>
    </w:p>
    <w:p>
      <w:pPr>
        <w:pStyle w:val="2"/>
        <w:spacing w:line="240" w:lineRule="auto"/>
        <w:rPr>
          <w:rFonts w:hint="eastAsia"/>
          <w:lang w:val="en-US" w:eastAsia="zh-CN"/>
        </w:rPr>
      </w:pPr>
      <w:r>
        <w:rPr>
          <w:rFonts w:hint="eastAsia" w:ascii="黑体" w:hAnsi="黑体" w:eastAsia="黑体" w:cs="黑体"/>
          <w:lang w:val="en-US" w:eastAsia="zh-CN"/>
        </w:rPr>
        <w:t>第二十二条</w:t>
      </w:r>
      <w:r>
        <w:rPr>
          <w:rFonts w:hint="eastAsia"/>
          <w:lang w:val="en-US" w:eastAsia="zh-CN"/>
        </w:rPr>
        <w:t>　展会主办方对涉嫌侵权的展品，应当要求被投诉人按照合同约定立即采取撤展措施。</w:t>
      </w:r>
    </w:p>
    <w:p>
      <w:pPr>
        <w:pStyle w:val="2"/>
        <w:spacing w:line="240" w:lineRule="auto"/>
        <w:rPr>
          <w:rFonts w:hint="eastAsia"/>
          <w:lang w:val="en-US" w:eastAsia="zh-CN"/>
        </w:rPr>
      </w:pPr>
      <w:r>
        <w:rPr>
          <w:rFonts w:hint="eastAsia"/>
          <w:lang w:val="en-US" w:eastAsia="zh-CN"/>
        </w:rPr>
        <w:t>展会专利投诉处理机构在调解过程中发现参展商违反本办法第十二条有关情形的，展会主办方可以按照约定解除合同。</w:t>
      </w:r>
    </w:p>
    <w:p>
      <w:pPr>
        <w:pStyle w:val="2"/>
        <w:spacing w:line="240" w:lineRule="auto"/>
        <w:rPr>
          <w:rFonts w:hint="eastAsia"/>
          <w:lang w:val="en-US" w:eastAsia="zh-CN"/>
        </w:rPr>
      </w:pPr>
      <w:r>
        <w:rPr>
          <w:rFonts w:hint="eastAsia"/>
          <w:lang w:val="en-US" w:eastAsia="zh-CN"/>
        </w:rPr>
        <w:t>参展合同解除后，被投诉人应当立即撤展。</w:t>
      </w:r>
    </w:p>
    <w:p>
      <w:pPr>
        <w:pStyle w:val="2"/>
        <w:spacing w:line="240" w:lineRule="auto"/>
        <w:rPr>
          <w:rFonts w:hint="eastAsia"/>
          <w:lang w:val="en-US" w:eastAsia="zh-CN"/>
        </w:rPr>
      </w:pPr>
      <w:r>
        <w:rPr>
          <w:rFonts w:hint="eastAsia" w:ascii="黑体" w:hAnsi="黑体" w:eastAsia="黑体" w:cs="黑体"/>
          <w:lang w:val="en-US" w:eastAsia="zh-CN"/>
        </w:rPr>
        <w:t>第二十三条</w:t>
      </w:r>
      <w:r>
        <w:rPr>
          <w:rFonts w:hint="eastAsia"/>
          <w:lang w:val="en-US" w:eastAsia="zh-CN"/>
        </w:rPr>
        <w:t>　被投诉人依调解协议执行后有异议的，应当在24小时内通过展会专利投诉处理机构向展会主办方提出书面意见，并提交相应的证据。</w:t>
      </w:r>
    </w:p>
    <w:p>
      <w:pPr>
        <w:pStyle w:val="2"/>
        <w:spacing w:line="240" w:lineRule="auto"/>
        <w:rPr>
          <w:rFonts w:hint="eastAsia"/>
          <w:lang w:val="en-US" w:eastAsia="zh-CN"/>
        </w:rPr>
      </w:pPr>
      <w:r>
        <w:rPr>
          <w:rFonts w:hint="eastAsia"/>
          <w:lang w:val="en-US" w:eastAsia="zh-CN"/>
        </w:rPr>
        <w:t>被投诉人的异议成立的，视为原双方达成的调解协议无效，展会专利投诉处理机构应当在24小时内通知被投诉人恢复展示，并书面告知投诉人。</w:t>
      </w:r>
    </w:p>
    <w:p>
      <w:pPr>
        <w:pStyle w:val="2"/>
        <w:spacing w:line="240" w:lineRule="auto"/>
        <w:rPr>
          <w:rFonts w:hint="eastAsia"/>
          <w:lang w:val="en-US" w:eastAsia="zh-CN"/>
        </w:rPr>
      </w:pPr>
      <w:r>
        <w:rPr>
          <w:rFonts w:hint="eastAsia"/>
          <w:lang w:val="en-US" w:eastAsia="zh-CN"/>
        </w:rPr>
        <w:t>被投诉人的异议不成立的，原双方达成的调解协议有效。</w:t>
      </w:r>
    </w:p>
    <w:p>
      <w:pPr>
        <w:pStyle w:val="2"/>
        <w:spacing w:line="240" w:lineRule="auto"/>
        <w:rPr>
          <w:rFonts w:hint="eastAsia"/>
          <w:lang w:val="en-US" w:eastAsia="zh-CN"/>
        </w:rPr>
      </w:pPr>
      <w:r>
        <w:rPr>
          <w:rFonts w:hint="eastAsia" w:ascii="黑体" w:hAnsi="黑体" w:eastAsia="黑体" w:cs="黑体"/>
          <w:lang w:val="en-US" w:eastAsia="zh-CN"/>
        </w:rPr>
        <w:t>第二十四条</w:t>
      </w:r>
      <w:r>
        <w:rPr>
          <w:rFonts w:hint="eastAsia"/>
          <w:lang w:val="en-US" w:eastAsia="zh-CN"/>
        </w:rPr>
        <w:t>　展会专利投诉处理机构在调解过程中，对涉及大型机械设备、精密仪器内部结构、产品制造方法以及其他难以判定的专利，可以终止调解，并书面告知投诉人。</w:t>
      </w:r>
    </w:p>
    <w:p>
      <w:pPr>
        <w:pStyle w:val="2"/>
        <w:spacing w:line="240" w:lineRule="auto"/>
        <w:rPr>
          <w:rFonts w:hint="eastAsia"/>
          <w:lang w:val="en-US" w:eastAsia="zh-CN"/>
        </w:rPr>
      </w:pPr>
      <w:r>
        <w:rPr>
          <w:rFonts w:hint="eastAsia"/>
          <w:lang w:val="en-US" w:eastAsia="zh-CN"/>
        </w:rPr>
        <w:t>展会专利投诉处理机构应当根据专利权人或者利害关系人的请求出具相关事实证明或者为其查阅、复印有关的材料提供便利。</w:t>
      </w:r>
    </w:p>
    <w:p>
      <w:pPr>
        <w:pStyle w:val="2"/>
        <w:spacing w:line="240" w:lineRule="auto"/>
        <w:rPr>
          <w:rFonts w:hint="eastAsia"/>
          <w:lang w:val="en-US" w:eastAsia="zh-CN"/>
        </w:rPr>
      </w:pPr>
      <w:r>
        <w:rPr>
          <w:rFonts w:hint="eastAsia" w:ascii="黑体" w:hAnsi="黑体" w:eastAsia="黑体" w:cs="黑体"/>
          <w:lang w:val="en-US" w:eastAsia="zh-CN"/>
        </w:rPr>
        <w:t>第二十五条</w:t>
      </w:r>
      <w:r>
        <w:rPr>
          <w:rFonts w:hint="eastAsia"/>
          <w:lang w:val="en-US" w:eastAsia="zh-CN"/>
        </w:rPr>
        <w:t>　专利行政部门调解展会专利侵权纠纷，依据相关法律法规规章的规定进行。</w:t>
      </w:r>
    </w:p>
    <w:p>
      <w:pPr>
        <w:pStyle w:val="2"/>
        <w:spacing w:line="240" w:lineRule="auto"/>
        <w:rPr>
          <w:rFonts w:hint="eastAsia"/>
          <w:lang w:val="en-US" w:eastAsia="zh-CN"/>
        </w:rPr>
      </w:pPr>
      <w:r>
        <w:rPr>
          <w:rFonts w:hint="eastAsia"/>
          <w:lang w:val="en-US" w:eastAsia="zh-CN"/>
        </w:rPr>
        <w:t>专利行政部门进行调解，达成协议的，应当当场制作调解协议书，经双方当事人签收后，即发生效力。</w:t>
      </w:r>
    </w:p>
    <w:p>
      <w:pPr>
        <w:pStyle w:val="2"/>
        <w:spacing w:line="240" w:lineRule="auto"/>
        <w:rPr>
          <w:rFonts w:hint="eastAsia"/>
          <w:lang w:val="en-US" w:eastAsia="zh-CN"/>
        </w:rPr>
      </w:pPr>
      <w:r>
        <w:rPr>
          <w:rFonts w:hint="eastAsia"/>
          <w:lang w:val="en-US" w:eastAsia="zh-CN"/>
        </w:rPr>
        <w:t>调解未达成协议或者调解协议书送达前反悔的，专利行政部门应当依法作出行政处理。</w:t>
      </w:r>
    </w:p>
    <w:p>
      <w:pPr>
        <w:pStyle w:val="2"/>
        <w:spacing w:line="240" w:lineRule="auto"/>
        <w:rPr>
          <w:rFonts w:hint="eastAsia"/>
          <w:lang w:val="en-US" w:eastAsia="zh-CN"/>
        </w:rPr>
      </w:pPr>
    </w:p>
    <w:p>
      <w:pPr>
        <w:pStyle w:val="2"/>
        <w:spacing w:line="240" w:lineRule="auto"/>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第四章　展会专利侵权纠纷行政处理</w:t>
      </w:r>
    </w:p>
    <w:p>
      <w:pPr>
        <w:pStyle w:val="2"/>
        <w:spacing w:line="240" w:lineRule="auto"/>
        <w:rPr>
          <w:rFonts w:hint="eastAsia"/>
          <w:lang w:val="en-US" w:eastAsia="zh-CN"/>
        </w:rPr>
      </w:pPr>
    </w:p>
    <w:p>
      <w:pPr>
        <w:pStyle w:val="2"/>
        <w:spacing w:line="240" w:lineRule="auto"/>
        <w:rPr>
          <w:rFonts w:hint="eastAsia"/>
          <w:lang w:val="en-US" w:eastAsia="zh-CN"/>
        </w:rPr>
      </w:pPr>
      <w:r>
        <w:rPr>
          <w:rFonts w:hint="eastAsia" w:ascii="黑体" w:hAnsi="黑体" w:eastAsia="黑体" w:cs="黑体"/>
          <w:lang w:val="en-US" w:eastAsia="zh-CN"/>
        </w:rPr>
        <w:t>第二十六条</w:t>
      </w:r>
      <w:r>
        <w:rPr>
          <w:rFonts w:hint="eastAsia"/>
          <w:lang w:val="en-US" w:eastAsia="zh-CN"/>
        </w:rPr>
        <w:t>　专利行政部门处理展会中的专利侵权纠纷可以适用简易程序或者普通程序。</w:t>
      </w:r>
    </w:p>
    <w:p>
      <w:pPr>
        <w:pStyle w:val="2"/>
        <w:spacing w:line="240" w:lineRule="auto"/>
        <w:rPr>
          <w:rFonts w:hint="eastAsia"/>
          <w:lang w:val="en-US" w:eastAsia="zh-CN"/>
        </w:rPr>
      </w:pPr>
      <w:r>
        <w:rPr>
          <w:rFonts w:hint="eastAsia" w:ascii="黑体" w:hAnsi="黑体" w:eastAsia="黑体" w:cs="黑体"/>
          <w:lang w:val="en-US" w:eastAsia="zh-CN"/>
        </w:rPr>
        <w:t>第二十七条</w:t>
      </w:r>
      <w:r>
        <w:rPr>
          <w:rFonts w:hint="eastAsia"/>
          <w:lang w:val="en-US" w:eastAsia="zh-CN"/>
        </w:rPr>
        <w:t>　展会举办时间在3日以上，所在地县级以上人民政府专利行政部门认为需要派员驻会的，可以派员驻会，并设立临时的专利侵权纠纷受理点，接受专利权人或者利害关系人提出的专利侵权纠纷处理请求，对符合受理条件的依法予以受理。</w:t>
      </w:r>
    </w:p>
    <w:p>
      <w:pPr>
        <w:pStyle w:val="2"/>
        <w:spacing w:line="240" w:lineRule="auto"/>
        <w:rPr>
          <w:rFonts w:hint="eastAsia"/>
          <w:lang w:val="en-US" w:eastAsia="zh-CN"/>
        </w:rPr>
      </w:pPr>
      <w:r>
        <w:rPr>
          <w:rFonts w:hint="eastAsia"/>
          <w:lang w:val="en-US" w:eastAsia="zh-CN"/>
        </w:rPr>
        <w:t>展会主办方应当配合，提供必要的场所和办公条件。</w:t>
      </w:r>
    </w:p>
    <w:p>
      <w:pPr>
        <w:pStyle w:val="2"/>
        <w:spacing w:line="240" w:lineRule="auto"/>
        <w:rPr>
          <w:rFonts w:hint="eastAsia"/>
          <w:lang w:val="en-US" w:eastAsia="zh-CN"/>
        </w:rPr>
      </w:pPr>
      <w:r>
        <w:rPr>
          <w:rFonts w:hint="eastAsia" w:ascii="黑体" w:hAnsi="黑体" w:eastAsia="黑体" w:cs="黑体"/>
          <w:lang w:val="en-US" w:eastAsia="zh-CN"/>
        </w:rPr>
        <w:t>第二十八条</w:t>
      </w:r>
      <w:r>
        <w:rPr>
          <w:rFonts w:hint="eastAsia"/>
          <w:lang w:val="en-US" w:eastAsia="zh-CN"/>
        </w:rPr>
        <w:t>　专利权人或者利害关系人向专利行政部门提出专利侵权纠纷处理请求的，应当符合下列条件：</w:t>
      </w:r>
    </w:p>
    <w:p>
      <w:pPr>
        <w:pStyle w:val="2"/>
        <w:keepNext w:val="0"/>
        <w:keepLines w:val="0"/>
        <w:pageBreakBefore w:val="0"/>
        <w:widowControl w:val="0"/>
        <w:kinsoku/>
        <w:wordWrap/>
        <w:overflowPunct/>
        <w:topLinePunct w:val="0"/>
        <w:autoSpaceDE/>
        <w:autoSpaceDN/>
        <w:bidi w:val="0"/>
        <w:adjustRightInd/>
        <w:snapToGrid/>
        <w:spacing w:line="240" w:lineRule="auto"/>
        <w:ind w:firstLine="624"/>
        <w:textAlignment w:val="baseline"/>
        <w:rPr>
          <w:rFonts w:hint="eastAsia"/>
          <w:lang w:val="en-US" w:eastAsia="zh-CN"/>
        </w:rPr>
      </w:pPr>
      <w:r>
        <w:rPr>
          <w:rFonts w:hint="eastAsia"/>
          <w:lang w:val="en-US" w:eastAsia="zh-CN"/>
        </w:rPr>
        <w:t>（一）提交专利侵权纠纷处理请求书、证据，以及身份证明、营业执照等资料；</w:t>
      </w:r>
    </w:p>
    <w:p>
      <w:pPr>
        <w:pStyle w:val="2"/>
        <w:keepNext w:val="0"/>
        <w:keepLines w:val="0"/>
        <w:pageBreakBefore w:val="0"/>
        <w:widowControl w:val="0"/>
        <w:kinsoku/>
        <w:wordWrap/>
        <w:overflowPunct/>
        <w:topLinePunct w:val="0"/>
        <w:autoSpaceDE/>
        <w:autoSpaceDN/>
        <w:bidi w:val="0"/>
        <w:adjustRightInd/>
        <w:snapToGrid/>
        <w:spacing w:line="240" w:lineRule="auto"/>
        <w:ind w:firstLine="624"/>
        <w:textAlignment w:val="baseline"/>
        <w:rPr>
          <w:rFonts w:hint="eastAsia"/>
          <w:lang w:val="en-US" w:eastAsia="zh-CN"/>
        </w:rPr>
      </w:pPr>
      <w:r>
        <w:rPr>
          <w:rFonts w:hint="eastAsia"/>
          <w:lang w:val="en-US" w:eastAsia="zh-CN"/>
        </w:rPr>
        <w:t>（二）请求人是专利权人或者利害关系人；</w:t>
      </w:r>
    </w:p>
    <w:p>
      <w:pPr>
        <w:pStyle w:val="2"/>
        <w:spacing w:line="240" w:lineRule="auto"/>
        <w:rPr>
          <w:rFonts w:hint="eastAsia"/>
          <w:lang w:val="en-US" w:eastAsia="zh-CN"/>
        </w:rPr>
      </w:pPr>
      <w:r>
        <w:rPr>
          <w:rFonts w:hint="eastAsia"/>
          <w:lang w:val="en-US" w:eastAsia="zh-CN"/>
        </w:rPr>
        <w:t>（三）有明确的被请求人；</w:t>
      </w:r>
    </w:p>
    <w:p>
      <w:pPr>
        <w:pStyle w:val="2"/>
        <w:spacing w:line="240" w:lineRule="auto"/>
        <w:rPr>
          <w:rFonts w:hint="eastAsia"/>
          <w:lang w:val="en-US" w:eastAsia="zh-CN"/>
        </w:rPr>
      </w:pPr>
      <w:r>
        <w:rPr>
          <w:rFonts w:hint="eastAsia"/>
          <w:lang w:val="en-US" w:eastAsia="zh-CN"/>
        </w:rPr>
        <w:t>（四）有明确的请求事项和事实、理由；</w:t>
      </w:r>
    </w:p>
    <w:p>
      <w:pPr>
        <w:pStyle w:val="2"/>
        <w:spacing w:line="240" w:lineRule="auto"/>
        <w:rPr>
          <w:rFonts w:hint="eastAsia"/>
          <w:lang w:val="en-US" w:eastAsia="zh-CN"/>
        </w:rPr>
      </w:pPr>
      <w:r>
        <w:rPr>
          <w:rFonts w:hint="eastAsia"/>
          <w:lang w:val="en-US" w:eastAsia="zh-CN"/>
        </w:rPr>
        <w:t>（五）当事人未向人民法院起诉；</w:t>
      </w:r>
    </w:p>
    <w:p>
      <w:pPr>
        <w:pStyle w:val="2"/>
        <w:spacing w:line="240" w:lineRule="auto"/>
        <w:rPr>
          <w:rFonts w:hint="eastAsia"/>
          <w:lang w:val="en-US" w:eastAsia="zh-CN"/>
        </w:rPr>
      </w:pPr>
      <w:r>
        <w:rPr>
          <w:rFonts w:hint="eastAsia"/>
          <w:lang w:val="en-US" w:eastAsia="zh-CN"/>
        </w:rPr>
        <w:t>（六）属于该专利行政部门管辖范围和受理事项范围；</w:t>
      </w:r>
    </w:p>
    <w:p>
      <w:pPr>
        <w:pStyle w:val="2"/>
        <w:spacing w:line="240" w:lineRule="auto"/>
        <w:rPr>
          <w:rFonts w:hint="eastAsia"/>
          <w:lang w:val="en-US" w:eastAsia="zh-CN"/>
        </w:rPr>
      </w:pPr>
      <w:r>
        <w:rPr>
          <w:rFonts w:hint="eastAsia"/>
          <w:lang w:val="en-US" w:eastAsia="zh-CN"/>
        </w:rPr>
        <w:t>（七）重复侵权的，请求人还应当提交已经生效的行政处理决定、民事裁判或者仲裁裁决文书。</w:t>
      </w:r>
    </w:p>
    <w:p>
      <w:pPr>
        <w:pStyle w:val="2"/>
        <w:spacing w:line="240" w:lineRule="auto"/>
        <w:rPr>
          <w:rFonts w:hint="eastAsia"/>
          <w:lang w:val="en-US" w:eastAsia="zh-CN"/>
        </w:rPr>
      </w:pPr>
      <w:r>
        <w:rPr>
          <w:rFonts w:hint="eastAsia"/>
          <w:lang w:val="en-US" w:eastAsia="zh-CN"/>
        </w:rPr>
        <w:t>专利权正处于无效宣告请求程序中且无效理由明显成立的展会专利侵权纠纷，专利行政部门可以不予受理。</w:t>
      </w:r>
    </w:p>
    <w:p>
      <w:pPr>
        <w:pStyle w:val="2"/>
        <w:spacing w:line="240" w:lineRule="auto"/>
        <w:rPr>
          <w:rFonts w:hint="eastAsia"/>
          <w:lang w:val="en-US" w:eastAsia="zh-CN"/>
        </w:rPr>
      </w:pPr>
      <w:r>
        <w:rPr>
          <w:rFonts w:hint="eastAsia" w:ascii="黑体" w:hAnsi="黑体" w:eastAsia="黑体" w:cs="黑体"/>
          <w:lang w:val="en-US" w:eastAsia="zh-CN"/>
        </w:rPr>
        <w:t>第二十九条</w:t>
      </w:r>
      <w:r>
        <w:rPr>
          <w:rFonts w:hint="eastAsia"/>
          <w:lang w:val="en-US" w:eastAsia="zh-CN"/>
        </w:rPr>
        <w:t>　当事人提交的证据材料，应当真实、合法。</w:t>
      </w:r>
    </w:p>
    <w:p>
      <w:pPr>
        <w:pStyle w:val="2"/>
        <w:spacing w:line="240" w:lineRule="auto"/>
        <w:rPr>
          <w:rFonts w:hint="eastAsia"/>
          <w:lang w:val="en-US" w:eastAsia="zh-CN"/>
        </w:rPr>
      </w:pPr>
      <w:r>
        <w:rPr>
          <w:rFonts w:hint="eastAsia"/>
          <w:lang w:val="en-US" w:eastAsia="zh-CN"/>
        </w:rPr>
        <w:t>当事人提交的证据材料是在中华人民共和国领域外形成的，应当经所在国公证机关予以证明，并经中华人民共和国驻该国使领馆予以认证，或者履行中华人民共和国与该所在国订立的有关条约中规定的证明手续。</w:t>
      </w:r>
    </w:p>
    <w:p>
      <w:pPr>
        <w:pStyle w:val="2"/>
        <w:spacing w:line="240" w:lineRule="auto"/>
        <w:rPr>
          <w:rFonts w:hint="eastAsia"/>
          <w:lang w:val="en-US" w:eastAsia="zh-CN"/>
        </w:rPr>
      </w:pPr>
      <w:r>
        <w:rPr>
          <w:rFonts w:hint="eastAsia"/>
          <w:lang w:val="en-US" w:eastAsia="zh-CN"/>
        </w:rPr>
        <w:t>当事人提交的证据材料是在香港、澳门、台湾地区形成的，应当履行相关的证明手续。</w:t>
      </w:r>
    </w:p>
    <w:p>
      <w:pPr>
        <w:pStyle w:val="2"/>
        <w:spacing w:line="240" w:lineRule="auto"/>
        <w:rPr>
          <w:rFonts w:hint="eastAsia"/>
          <w:lang w:val="en-US" w:eastAsia="zh-CN"/>
        </w:rPr>
      </w:pPr>
      <w:r>
        <w:rPr>
          <w:rFonts w:hint="eastAsia"/>
          <w:lang w:val="en-US" w:eastAsia="zh-CN"/>
        </w:rPr>
        <w:t>当事人是境外的，其主体资格的证明材料参照本条第二款和第三款的规定执行。</w:t>
      </w:r>
    </w:p>
    <w:p>
      <w:pPr>
        <w:pStyle w:val="2"/>
        <w:spacing w:line="240" w:lineRule="auto"/>
        <w:rPr>
          <w:rFonts w:hint="eastAsia"/>
          <w:lang w:val="en-US" w:eastAsia="zh-CN"/>
        </w:rPr>
      </w:pPr>
      <w:r>
        <w:rPr>
          <w:rFonts w:hint="eastAsia"/>
          <w:lang w:val="en-US" w:eastAsia="zh-CN"/>
        </w:rPr>
        <w:t>当事人提交外文书证或者外文说明资料，应当附有中文译本。</w:t>
      </w:r>
    </w:p>
    <w:p>
      <w:pPr>
        <w:pStyle w:val="2"/>
        <w:spacing w:line="240" w:lineRule="auto"/>
        <w:rPr>
          <w:rFonts w:hint="eastAsia"/>
          <w:lang w:val="en-US" w:eastAsia="zh-CN"/>
        </w:rPr>
      </w:pPr>
      <w:r>
        <w:rPr>
          <w:rFonts w:hint="eastAsia" w:ascii="黑体" w:hAnsi="黑体" w:eastAsia="黑体" w:cs="黑体"/>
          <w:lang w:val="en-US" w:eastAsia="zh-CN"/>
        </w:rPr>
        <w:t>第三十条</w:t>
      </w:r>
      <w:r>
        <w:rPr>
          <w:rFonts w:hint="eastAsia"/>
          <w:lang w:val="en-US" w:eastAsia="zh-CN"/>
        </w:rPr>
        <w:t>　专利行政部门处理展会专利侵权纠纷案件，可以到被请求人的展位进行现场检查，查阅、复制与案件有关的文件，询问当事人，采取拍照、摄像、抽样等方式调查取证。</w:t>
      </w:r>
    </w:p>
    <w:p>
      <w:pPr>
        <w:pStyle w:val="2"/>
        <w:spacing w:line="240" w:lineRule="auto"/>
        <w:rPr>
          <w:rFonts w:hint="eastAsia"/>
          <w:lang w:val="en-US" w:eastAsia="zh-CN"/>
        </w:rPr>
      </w:pPr>
      <w:r>
        <w:rPr>
          <w:rFonts w:hint="eastAsia" w:ascii="黑体" w:hAnsi="黑体" w:eastAsia="黑体" w:cs="黑体"/>
          <w:lang w:val="en-US" w:eastAsia="zh-CN"/>
        </w:rPr>
        <w:t>第三十一条</w:t>
      </w:r>
      <w:r>
        <w:rPr>
          <w:rFonts w:hint="eastAsia"/>
          <w:lang w:val="en-US" w:eastAsia="zh-CN"/>
        </w:rPr>
        <w:t>　展会期间专利侵权纠纷案件的普通处理程序，依据《广东省专利条例》和相关法律法规的规定执行。</w:t>
      </w:r>
    </w:p>
    <w:p>
      <w:pPr>
        <w:pStyle w:val="2"/>
        <w:spacing w:line="240" w:lineRule="auto"/>
        <w:rPr>
          <w:rFonts w:hint="eastAsia"/>
          <w:lang w:val="en-US" w:eastAsia="zh-CN"/>
        </w:rPr>
      </w:pPr>
      <w:r>
        <w:rPr>
          <w:rFonts w:hint="eastAsia"/>
          <w:lang w:val="en-US" w:eastAsia="zh-CN"/>
        </w:rPr>
        <w:t>执行《广东省专利条例》第三十二条、第三十三条等相关规定措施，所产生的运输、仓储等费用由请求人承担，涉及实用新型专利或者外观设计专利的，请求人应当提交国务院专利行政部门出具的实用新型检索报告或者专利权评价报告。</w:t>
      </w:r>
    </w:p>
    <w:p>
      <w:pPr>
        <w:pStyle w:val="2"/>
        <w:spacing w:line="240" w:lineRule="auto"/>
        <w:rPr>
          <w:rFonts w:hint="eastAsia"/>
          <w:lang w:val="en-US" w:eastAsia="zh-CN"/>
        </w:rPr>
      </w:pPr>
      <w:r>
        <w:rPr>
          <w:rFonts w:hint="eastAsia" w:ascii="黑体" w:hAnsi="黑体" w:eastAsia="黑体" w:cs="黑体"/>
          <w:lang w:val="en-US" w:eastAsia="zh-CN"/>
        </w:rPr>
        <w:t>第三十二条</w:t>
      </w:r>
      <w:r>
        <w:rPr>
          <w:rFonts w:hint="eastAsia"/>
          <w:lang w:val="en-US" w:eastAsia="zh-CN"/>
        </w:rPr>
        <w:t>　专利行政部门对事实清楚、证据确凿充分、争议不大并且符合下列条件之一的专利侵权纠纷案件，可以适用简易程序处理：</w:t>
      </w:r>
    </w:p>
    <w:p>
      <w:pPr>
        <w:pStyle w:val="2"/>
        <w:spacing w:line="240" w:lineRule="auto"/>
        <w:rPr>
          <w:rFonts w:hint="eastAsia"/>
          <w:lang w:val="en-US" w:eastAsia="zh-CN"/>
        </w:rPr>
      </w:pPr>
      <w:r>
        <w:rPr>
          <w:rFonts w:hint="eastAsia"/>
          <w:lang w:val="en-US" w:eastAsia="zh-CN"/>
        </w:rPr>
        <w:t>（一）专利权人或者利害关系人仅要求被投诉人停止在本届展会中的侵权行为；</w:t>
      </w:r>
    </w:p>
    <w:p>
      <w:pPr>
        <w:pStyle w:val="2"/>
        <w:spacing w:line="240" w:lineRule="auto"/>
        <w:rPr>
          <w:rFonts w:hint="eastAsia"/>
          <w:lang w:val="en-US" w:eastAsia="zh-CN"/>
        </w:rPr>
      </w:pPr>
      <w:r>
        <w:rPr>
          <w:rFonts w:hint="eastAsia"/>
          <w:lang w:val="en-US" w:eastAsia="zh-CN"/>
        </w:rPr>
        <w:t>（二）已经生效法律文书认定专利侵权的；</w:t>
      </w:r>
    </w:p>
    <w:p>
      <w:pPr>
        <w:pStyle w:val="2"/>
        <w:spacing w:line="240" w:lineRule="auto"/>
        <w:rPr>
          <w:rFonts w:hint="eastAsia"/>
          <w:lang w:val="en-US" w:eastAsia="zh-CN"/>
        </w:rPr>
      </w:pPr>
      <w:r>
        <w:rPr>
          <w:rFonts w:hint="eastAsia"/>
          <w:lang w:val="en-US" w:eastAsia="zh-CN"/>
        </w:rPr>
        <w:t>（三）被投诉的参展展品的技术方案或者外观设计与发明、实用新型或者外观设计专利权相同的；</w:t>
      </w:r>
    </w:p>
    <w:p>
      <w:pPr>
        <w:pStyle w:val="2"/>
        <w:spacing w:line="240" w:lineRule="auto"/>
        <w:rPr>
          <w:rFonts w:hint="eastAsia"/>
          <w:lang w:val="en-US" w:eastAsia="zh-CN"/>
        </w:rPr>
      </w:pPr>
      <w:r>
        <w:rPr>
          <w:rFonts w:hint="eastAsia"/>
          <w:lang w:val="en-US" w:eastAsia="zh-CN"/>
        </w:rPr>
        <w:t>（四）其他可以适用简易程序的情形。</w:t>
      </w:r>
    </w:p>
    <w:p>
      <w:pPr>
        <w:pStyle w:val="2"/>
        <w:spacing w:line="240" w:lineRule="auto"/>
        <w:rPr>
          <w:rFonts w:hint="eastAsia"/>
          <w:lang w:val="en-US" w:eastAsia="zh-CN"/>
        </w:rPr>
      </w:pPr>
      <w:r>
        <w:rPr>
          <w:rFonts w:hint="eastAsia" w:ascii="黑体" w:hAnsi="黑体" w:eastAsia="黑体" w:cs="黑体"/>
          <w:lang w:val="en-US" w:eastAsia="zh-CN"/>
        </w:rPr>
        <w:t>第三十三条</w:t>
      </w:r>
      <w:r>
        <w:rPr>
          <w:rFonts w:hint="eastAsia"/>
          <w:lang w:val="en-US" w:eastAsia="zh-CN"/>
        </w:rPr>
        <w:t>　适用简易程序处理的，除了应当符合本办法第二十八条规定外，请求人还应当提供担保，并提供落入专利权的保护范围的对比分析材料和国务院专利行政部门出具的实用新型检索报告或者专利权评价报告以及相关证明材料。</w:t>
      </w:r>
    </w:p>
    <w:p>
      <w:pPr>
        <w:pStyle w:val="2"/>
        <w:spacing w:line="240" w:lineRule="auto"/>
        <w:rPr>
          <w:rFonts w:hint="eastAsia"/>
          <w:lang w:val="en-US" w:eastAsia="zh-CN"/>
        </w:rPr>
      </w:pPr>
      <w:r>
        <w:rPr>
          <w:rFonts w:hint="eastAsia"/>
          <w:lang w:val="en-US" w:eastAsia="zh-CN"/>
        </w:rPr>
        <w:t>专利权人或者利害关系人提出专利侵权纠纷处理请求的时间距离展会结束不足48小时，不适用简易程序处理。</w:t>
      </w:r>
    </w:p>
    <w:p>
      <w:pPr>
        <w:pStyle w:val="2"/>
        <w:spacing w:line="240" w:lineRule="auto"/>
        <w:rPr>
          <w:rFonts w:hint="eastAsia"/>
          <w:lang w:val="en-US" w:eastAsia="zh-CN"/>
        </w:rPr>
      </w:pPr>
      <w:r>
        <w:rPr>
          <w:rFonts w:hint="eastAsia" w:ascii="黑体" w:hAnsi="黑体" w:eastAsia="黑体" w:cs="黑体"/>
          <w:lang w:val="en-US" w:eastAsia="zh-CN"/>
        </w:rPr>
        <w:t>第三十四条</w:t>
      </w:r>
      <w:r>
        <w:rPr>
          <w:rFonts w:hint="eastAsia"/>
          <w:lang w:val="en-US" w:eastAsia="zh-CN"/>
        </w:rPr>
        <w:t>　适用简易程序受理的案件，专利行政部门应当及时将案件受理通知书等相关文书材料送达双方当事人。</w:t>
      </w:r>
    </w:p>
    <w:p>
      <w:pPr>
        <w:pStyle w:val="2"/>
        <w:spacing w:line="240" w:lineRule="auto"/>
        <w:rPr>
          <w:rFonts w:hint="eastAsia"/>
          <w:lang w:val="en-US" w:eastAsia="zh-CN"/>
        </w:rPr>
      </w:pPr>
      <w:r>
        <w:rPr>
          <w:rFonts w:hint="eastAsia"/>
          <w:lang w:val="en-US" w:eastAsia="zh-CN"/>
        </w:rPr>
        <w:t>被请求人应当在收到案件受理通知书等相关文书材料24小时内进行答辩和举证，逾期未答辩和举证的，不影响专利行政部门的处理。</w:t>
      </w:r>
    </w:p>
    <w:p>
      <w:pPr>
        <w:pStyle w:val="2"/>
        <w:spacing w:line="240" w:lineRule="auto"/>
        <w:rPr>
          <w:rFonts w:hint="eastAsia"/>
          <w:lang w:val="en-US" w:eastAsia="zh-CN"/>
        </w:rPr>
      </w:pPr>
      <w:r>
        <w:rPr>
          <w:rFonts w:hint="eastAsia" w:ascii="黑体" w:hAnsi="黑体" w:eastAsia="黑体" w:cs="黑体"/>
          <w:lang w:val="en-US" w:eastAsia="zh-CN"/>
        </w:rPr>
        <w:t>第三十五条</w:t>
      </w:r>
      <w:r>
        <w:rPr>
          <w:rFonts w:hint="eastAsia"/>
          <w:lang w:val="en-US" w:eastAsia="zh-CN"/>
        </w:rPr>
        <w:t>　按照简易程序处理的专利侵权纠纷案件，专利行政部门应当在被请求人申辩期满后24小时内进行审理，调解不成的作出处理决定。</w:t>
      </w:r>
    </w:p>
    <w:p>
      <w:pPr>
        <w:pStyle w:val="2"/>
        <w:spacing w:line="240" w:lineRule="auto"/>
        <w:rPr>
          <w:rFonts w:hint="eastAsia"/>
          <w:lang w:val="en-US" w:eastAsia="zh-CN"/>
        </w:rPr>
      </w:pPr>
      <w:r>
        <w:rPr>
          <w:rFonts w:hint="eastAsia" w:ascii="黑体" w:hAnsi="黑体" w:eastAsia="黑体" w:cs="黑体"/>
          <w:lang w:val="en-US" w:eastAsia="zh-CN"/>
        </w:rPr>
        <w:t>第三十六条</w:t>
      </w:r>
      <w:r>
        <w:rPr>
          <w:rFonts w:hint="eastAsia"/>
          <w:lang w:val="en-US" w:eastAsia="zh-CN"/>
        </w:rPr>
        <w:t>　按照简易程序立案的案件，通过现场对比无法判断是否落入专利权的保护范围等案情复杂的，不再适用简易程序，按照本办法第三十一条的规定进行处理，专利行政部门应当及时告知当事人，并说明理由。</w:t>
      </w:r>
    </w:p>
    <w:p>
      <w:pPr>
        <w:pStyle w:val="2"/>
        <w:keepNext w:val="0"/>
        <w:keepLines w:val="0"/>
        <w:pageBreakBefore w:val="0"/>
        <w:widowControl w:val="0"/>
        <w:kinsoku/>
        <w:wordWrap/>
        <w:overflowPunct/>
        <w:topLinePunct w:val="0"/>
        <w:autoSpaceDE/>
        <w:autoSpaceDN/>
        <w:bidi w:val="0"/>
        <w:adjustRightInd/>
        <w:snapToGrid/>
        <w:spacing w:line="240" w:lineRule="auto"/>
        <w:ind w:firstLine="624"/>
        <w:textAlignment w:val="baseline"/>
        <w:rPr>
          <w:rFonts w:hint="eastAsia"/>
          <w:lang w:val="en-US" w:eastAsia="zh-CN"/>
        </w:rPr>
      </w:pPr>
      <w:r>
        <w:rPr>
          <w:rFonts w:hint="eastAsia" w:ascii="黑体" w:hAnsi="黑体" w:eastAsia="黑体" w:cs="黑体"/>
          <w:lang w:val="en-US" w:eastAsia="zh-CN"/>
        </w:rPr>
        <w:t>第三十七条</w:t>
      </w:r>
      <w:r>
        <w:rPr>
          <w:rFonts w:hint="eastAsia"/>
          <w:lang w:val="en-US" w:eastAsia="zh-CN"/>
        </w:rPr>
        <w:t>　专利行政部门查处涉嫌假冒专利行为，依据《中华人民共和国专利法》等相关法律法规的规定执行。</w:t>
      </w:r>
    </w:p>
    <w:p>
      <w:pPr>
        <w:pStyle w:val="2"/>
        <w:spacing w:line="240" w:lineRule="auto"/>
        <w:rPr>
          <w:rFonts w:hint="eastAsia"/>
          <w:lang w:val="en-US" w:eastAsia="zh-CN"/>
        </w:rPr>
      </w:pPr>
      <w:r>
        <w:rPr>
          <w:rFonts w:hint="eastAsia"/>
          <w:lang w:val="en-US" w:eastAsia="zh-CN"/>
        </w:rPr>
        <w:t>专利行政部门查处假冒专利行为，展会主办方及参展商应当积极配合、协助。</w:t>
      </w:r>
    </w:p>
    <w:p>
      <w:pPr>
        <w:pStyle w:val="2"/>
        <w:spacing w:line="240" w:lineRule="auto"/>
        <w:rPr>
          <w:rFonts w:hint="eastAsia"/>
          <w:lang w:val="en-US" w:eastAsia="zh-CN"/>
        </w:rPr>
      </w:pPr>
    </w:p>
    <w:p>
      <w:pPr>
        <w:pStyle w:val="2"/>
        <w:spacing w:line="240" w:lineRule="auto"/>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第五章　展会专利诚信档案管理</w:t>
      </w:r>
    </w:p>
    <w:p>
      <w:pPr>
        <w:pStyle w:val="2"/>
        <w:spacing w:line="240" w:lineRule="auto"/>
        <w:rPr>
          <w:rFonts w:hint="eastAsia"/>
          <w:lang w:val="en-US" w:eastAsia="zh-CN"/>
        </w:rPr>
      </w:pPr>
    </w:p>
    <w:p>
      <w:pPr>
        <w:pStyle w:val="2"/>
        <w:spacing w:line="240" w:lineRule="auto"/>
        <w:rPr>
          <w:rFonts w:hint="eastAsia"/>
          <w:lang w:val="en-US" w:eastAsia="zh-CN"/>
        </w:rPr>
      </w:pPr>
      <w:r>
        <w:rPr>
          <w:rFonts w:hint="eastAsia" w:ascii="黑体" w:hAnsi="黑体" w:eastAsia="黑体" w:cs="黑体"/>
          <w:lang w:val="en-US" w:eastAsia="zh-CN"/>
        </w:rPr>
        <w:t>第三十八条</w:t>
      </w:r>
      <w:r>
        <w:rPr>
          <w:rFonts w:hint="eastAsia"/>
          <w:lang w:val="en-US" w:eastAsia="zh-CN"/>
        </w:rPr>
        <w:t>　专利行政部门应当建立展会专利诚信档案，将下列情形列入档案：</w:t>
      </w:r>
    </w:p>
    <w:p>
      <w:pPr>
        <w:pStyle w:val="2"/>
        <w:spacing w:line="240" w:lineRule="auto"/>
        <w:rPr>
          <w:rFonts w:hint="eastAsia"/>
          <w:lang w:val="en-US" w:eastAsia="zh-CN"/>
        </w:rPr>
      </w:pPr>
      <w:r>
        <w:rPr>
          <w:rFonts w:hint="eastAsia"/>
          <w:lang w:val="en-US" w:eastAsia="zh-CN"/>
        </w:rPr>
        <w:t>（一）违反本办法第十二条有关情形的；</w:t>
      </w:r>
    </w:p>
    <w:p>
      <w:pPr>
        <w:pStyle w:val="2"/>
        <w:spacing w:line="240" w:lineRule="auto"/>
        <w:rPr>
          <w:rFonts w:hint="eastAsia"/>
          <w:lang w:val="en-US" w:eastAsia="zh-CN"/>
        </w:rPr>
      </w:pPr>
      <w:r>
        <w:rPr>
          <w:rFonts w:hint="eastAsia"/>
          <w:lang w:val="en-US" w:eastAsia="zh-CN"/>
        </w:rPr>
        <w:t>（二）被认定为专利侵权、假冒专利或者重复侵权的；</w:t>
      </w:r>
    </w:p>
    <w:p>
      <w:pPr>
        <w:pStyle w:val="2"/>
        <w:spacing w:line="240" w:lineRule="auto"/>
        <w:rPr>
          <w:rFonts w:hint="eastAsia"/>
          <w:lang w:val="en-US" w:eastAsia="zh-CN"/>
        </w:rPr>
      </w:pPr>
      <w:r>
        <w:rPr>
          <w:rFonts w:hint="eastAsia"/>
          <w:lang w:val="en-US" w:eastAsia="zh-CN"/>
        </w:rPr>
        <w:t>（三）专利权人及利害关系人以现有技术或者现有设计申请专利并获得专利授权后，向展会主办方投诉或者专利行政部门提出处理请求的。</w:t>
      </w:r>
    </w:p>
    <w:p>
      <w:pPr>
        <w:pStyle w:val="2"/>
        <w:spacing w:line="240" w:lineRule="auto"/>
        <w:rPr>
          <w:rFonts w:hint="eastAsia"/>
          <w:lang w:val="en-US" w:eastAsia="zh-CN"/>
        </w:rPr>
      </w:pPr>
      <w:r>
        <w:rPr>
          <w:rFonts w:hint="eastAsia" w:ascii="黑体" w:hAnsi="黑体" w:eastAsia="黑体" w:cs="黑体"/>
          <w:lang w:val="en-US" w:eastAsia="zh-CN"/>
        </w:rPr>
        <w:t>第三十九条</w:t>
      </w:r>
      <w:r>
        <w:rPr>
          <w:rFonts w:hint="eastAsia"/>
          <w:lang w:val="en-US" w:eastAsia="zh-CN"/>
        </w:rPr>
        <w:t>　专利行政部门应当按照规定将展会诚信档案信息纳入行政部门企业信用信息系统，实现部门之间的企业信用信息资源共享，有效监控和防范专利侵权和假冒专利。</w:t>
      </w:r>
    </w:p>
    <w:p>
      <w:pPr>
        <w:pStyle w:val="2"/>
        <w:spacing w:line="240" w:lineRule="auto"/>
        <w:rPr>
          <w:rFonts w:hint="eastAsia"/>
          <w:lang w:val="en-US" w:eastAsia="zh-CN"/>
        </w:rPr>
      </w:pPr>
      <w:r>
        <w:rPr>
          <w:rFonts w:hint="eastAsia" w:ascii="黑体" w:hAnsi="黑体" w:eastAsia="黑体" w:cs="黑体"/>
          <w:lang w:val="en-US" w:eastAsia="zh-CN"/>
        </w:rPr>
        <w:t>第四十条</w:t>
      </w:r>
      <w:r>
        <w:rPr>
          <w:rFonts w:hint="eastAsia"/>
          <w:lang w:val="en-US" w:eastAsia="zh-CN"/>
        </w:rPr>
        <w:t>　专利行政部门应当对在展会期间的专利侵权和假冒专利行为向社会公布。</w:t>
      </w:r>
    </w:p>
    <w:p>
      <w:pPr>
        <w:pStyle w:val="2"/>
        <w:keepNext w:val="0"/>
        <w:keepLines w:val="0"/>
        <w:pageBreakBefore w:val="0"/>
        <w:widowControl w:val="0"/>
        <w:kinsoku/>
        <w:wordWrap/>
        <w:overflowPunct/>
        <w:topLinePunct w:val="0"/>
        <w:autoSpaceDE/>
        <w:autoSpaceDN/>
        <w:bidi w:val="0"/>
        <w:adjustRightInd/>
        <w:snapToGrid/>
        <w:spacing w:line="240" w:lineRule="auto"/>
        <w:ind w:firstLine="624"/>
        <w:textAlignment w:val="baseline"/>
        <w:rPr>
          <w:rFonts w:hint="eastAsia"/>
          <w:lang w:val="en-US" w:eastAsia="zh-CN"/>
        </w:rPr>
      </w:pPr>
      <w:r>
        <w:rPr>
          <w:rFonts w:hint="eastAsia" w:ascii="黑体" w:hAnsi="黑体" w:eastAsia="黑体" w:cs="黑体"/>
          <w:lang w:val="en-US" w:eastAsia="zh-CN"/>
        </w:rPr>
        <w:t>第四十一条</w:t>
      </w:r>
      <w:r>
        <w:rPr>
          <w:rFonts w:hint="eastAsia"/>
          <w:lang w:val="en-US" w:eastAsia="zh-CN"/>
        </w:rPr>
        <w:t>　专利行政部门对纳入展会专利诚信档案的参展商，在展会期间巡查时应当对其进行重点检查，对其相关专利权利证明材料进行审查。</w:t>
      </w:r>
    </w:p>
    <w:p>
      <w:pPr>
        <w:pStyle w:val="2"/>
        <w:spacing w:line="240" w:lineRule="auto"/>
        <w:rPr>
          <w:rFonts w:hint="eastAsia"/>
          <w:lang w:val="en-US" w:eastAsia="zh-CN"/>
        </w:rPr>
      </w:pPr>
    </w:p>
    <w:p>
      <w:pPr>
        <w:pStyle w:val="2"/>
        <w:spacing w:line="240" w:lineRule="auto"/>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第六章　法律责任</w:t>
      </w:r>
    </w:p>
    <w:p>
      <w:pPr>
        <w:pStyle w:val="2"/>
        <w:spacing w:line="240" w:lineRule="auto"/>
        <w:rPr>
          <w:rFonts w:hint="eastAsia"/>
          <w:lang w:val="en-US" w:eastAsia="zh-CN"/>
        </w:rPr>
      </w:pPr>
    </w:p>
    <w:p>
      <w:pPr>
        <w:pStyle w:val="2"/>
        <w:spacing w:line="240" w:lineRule="auto"/>
        <w:rPr>
          <w:rFonts w:hint="eastAsia"/>
          <w:lang w:val="en-US" w:eastAsia="zh-CN"/>
        </w:rPr>
      </w:pPr>
      <w:r>
        <w:rPr>
          <w:rFonts w:hint="eastAsia" w:ascii="黑体" w:hAnsi="黑体" w:eastAsia="黑体" w:cs="黑体"/>
          <w:lang w:val="en-US" w:eastAsia="zh-CN"/>
        </w:rPr>
        <w:t>第四十二条</w:t>
      </w:r>
      <w:r>
        <w:rPr>
          <w:rFonts w:hint="eastAsia"/>
          <w:lang w:val="en-US" w:eastAsia="zh-CN"/>
        </w:rPr>
        <w:t>　展会主办方违反本办法第十条、第十一条、第十二条、第二十一条规定的，由专利行政部门责令限期改正；逾期不改正的，予以警告，并通报批评。</w:t>
      </w:r>
    </w:p>
    <w:p>
      <w:pPr>
        <w:pStyle w:val="2"/>
        <w:spacing w:line="240" w:lineRule="auto"/>
        <w:rPr>
          <w:rFonts w:hint="eastAsia"/>
          <w:lang w:val="en-US" w:eastAsia="zh-CN"/>
        </w:rPr>
      </w:pPr>
      <w:r>
        <w:rPr>
          <w:rFonts w:hint="eastAsia" w:ascii="黑体" w:hAnsi="黑体" w:eastAsia="黑体" w:cs="黑体"/>
          <w:lang w:val="en-US" w:eastAsia="zh-CN"/>
        </w:rPr>
        <w:t>第四十三条</w:t>
      </w:r>
      <w:r>
        <w:rPr>
          <w:rFonts w:hint="eastAsia"/>
          <w:lang w:val="en-US" w:eastAsia="zh-CN"/>
        </w:rPr>
        <w:t>　展会主办方违反本办法有关规定，有下列情形之一的，由专利行政部门责令改正；拒不改正的，可以处1000元以上10000元以下的罚款：</w:t>
      </w:r>
    </w:p>
    <w:p>
      <w:pPr>
        <w:pStyle w:val="2"/>
        <w:spacing w:line="240" w:lineRule="auto"/>
        <w:rPr>
          <w:rFonts w:hint="eastAsia"/>
          <w:lang w:val="en-US" w:eastAsia="zh-CN"/>
        </w:rPr>
      </w:pPr>
      <w:r>
        <w:rPr>
          <w:rFonts w:hint="eastAsia"/>
          <w:lang w:val="en-US" w:eastAsia="zh-CN"/>
        </w:rPr>
        <w:t>（一）不设立展会专利投诉处理机构的；</w:t>
      </w:r>
    </w:p>
    <w:p>
      <w:pPr>
        <w:pStyle w:val="2"/>
        <w:spacing w:line="240" w:lineRule="auto"/>
        <w:rPr>
          <w:rFonts w:hint="eastAsia"/>
          <w:lang w:val="en-US" w:eastAsia="zh-CN"/>
        </w:rPr>
      </w:pPr>
      <w:r>
        <w:rPr>
          <w:rFonts w:hint="eastAsia"/>
          <w:lang w:val="en-US" w:eastAsia="zh-CN"/>
        </w:rPr>
        <w:t>（二）拒绝接受专利权人或者利害关系人投诉，未按照规定或者合同约定对禁止展出的参展项目采取措施的；</w:t>
      </w:r>
    </w:p>
    <w:p>
      <w:pPr>
        <w:pStyle w:val="2"/>
        <w:spacing w:line="240" w:lineRule="auto"/>
        <w:rPr>
          <w:rFonts w:hint="eastAsia"/>
          <w:lang w:val="en-US" w:eastAsia="zh-CN"/>
        </w:rPr>
      </w:pPr>
      <w:r>
        <w:rPr>
          <w:rFonts w:hint="eastAsia"/>
          <w:lang w:val="en-US" w:eastAsia="zh-CN"/>
        </w:rPr>
        <w:t>（三）经专利权人或者利害关系人投诉，拒绝出具相关事实证明，或者拒绝配合公证机关进行取证的；</w:t>
      </w:r>
    </w:p>
    <w:p>
      <w:pPr>
        <w:pStyle w:val="2"/>
        <w:spacing w:line="240" w:lineRule="auto"/>
        <w:rPr>
          <w:rFonts w:hint="eastAsia"/>
          <w:lang w:val="en-US" w:eastAsia="zh-CN"/>
        </w:rPr>
      </w:pPr>
      <w:r>
        <w:rPr>
          <w:rFonts w:hint="eastAsia"/>
          <w:lang w:val="en-US" w:eastAsia="zh-CN"/>
        </w:rPr>
        <w:t>（四）拒绝行政和司法机关调取投诉案卷，拒绝当事人查阅、复印涉案投诉案卷的。</w:t>
      </w:r>
    </w:p>
    <w:p>
      <w:pPr>
        <w:pStyle w:val="2"/>
        <w:keepNext w:val="0"/>
        <w:keepLines w:val="0"/>
        <w:pageBreakBefore w:val="0"/>
        <w:widowControl w:val="0"/>
        <w:kinsoku/>
        <w:wordWrap/>
        <w:overflowPunct/>
        <w:topLinePunct w:val="0"/>
        <w:autoSpaceDE/>
        <w:autoSpaceDN/>
        <w:bidi w:val="0"/>
        <w:adjustRightInd/>
        <w:snapToGrid/>
        <w:spacing w:line="240" w:lineRule="auto"/>
        <w:ind w:firstLine="624"/>
        <w:textAlignment w:val="baseline"/>
        <w:rPr>
          <w:rFonts w:hint="eastAsia"/>
          <w:lang w:val="en-US" w:eastAsia="zh-CN"/>
        </w:rPr>
      </w:pPr>
      <w:r>
        <w:rPr>
          <w:rFonts w:hint="eastAsia" w:ascii="黑体" w:hAnsi="黑体" w:eastAsia="黑体" w:cs="黑体"/>
          <w:lang w:val="en-US" w:eastAsia="zh-CN"/>
        </w:rPr>
        <w:t>第四十四条</w:t>
      </w:r>
      <w:r>
        <w:rPr>
          <w:rFonts w:hint="eastAsia"/>
          <w:lang w:val="en-US" w:eastAsia="zh-CN"/>
        </w:rPr>
        <w:t>　违反本办法第八条规定，阻碍专利行政部门依法执行职务的，由公安机关依法给予治安管理处罚。</w:t>
      </w:r>
    </w:p>
    <w:p>
      <w:pPr>
        <w:pStyle w:val="2"/>
        <w:keepNext w:val="0"/>
        <w:keepLines w:val="0"/>
        <w:pageBreakBefore w:val="0"/>
        <w:widowControl w:val="0"/>
        <w:kinsoku/>
        <w:wordWrap/>
        <w:overflowPunct/>
        <w:topLinePunct w:val="0"/>
        <w:autoSpaceDE/>
        <w:autoSpaceDN/>
        <w:bidi w:val="0"/>
        <w:adjustRightInd/>
        <w:snapToGrid/>
        <w:spacing w:line="240" w:lineRule="auto"/>
        <w:ind w:firstLine="624"/>
        <w:textAlignment w:val="baseline"/>
        <w:rPr>
          <w:rFonts w:hint="eastAsia"/>
          <w:lang w:val="en-US" w:eastAsia="zh-CN"/>
        </w:rPr>
      </w:pPr>
      <w:r>
        <w:rPr>
          <w:rFonts w:hint="eastAsia" w:ascii="黑体" w:hAnsi="黑体" w:eastAsia="黑体" w:cs="黑体"/>
          <w:lang w:val="en-US" w:eastAsia="zh-CN"/>
        </w:rPr>
        <w:t>第四十五条</w:t>
      </w:r>
      <w:r>
        <w:rPr>
          <w:rFonts w:hint="eastAsia"/>
          <w:lang w:val="en-US" w:eastAsia="zh-CN"/>
        </w:rPr>
        <w:t xml:space="preserve">  专利行政部门及其工作人员违反本办法有关规定，有下列情形之一的，由上级专利行政部门或者监察部门依法给予处分：</w:t>
      </w:r>
    </w:p>
    <w:p>
      <w:pPr>
        <w:pStyle w:val="2"/>
        <w:spacing w:line="240" w:lineRule="auto"/>
        <w:rPr>
          <w:rFonts w:hint="eastAsia"/>
          <w:lang w:val="en-US" w:eastAsia="zh-CN"/>
        </w:rPr>
      </w:pPr>
      <w:r>
        <w:rPr>
          <w:rFonts w:hint="eastAsia"/>
          <w:lang w:val="en-US" w:eastAsia="zh-CN"/>
        </w:rPr>
        <w:t>（一）没有在其门户网站上公布参展合同范本的；</w:t>
      </w:r>
    </w:p>
    <w:p>
      <w:pPr>
        <w:pStyle w:val="2"/>
        <w:spacing w:line="240" w:lineRule="auto"/>
        <w:rPr>
          <w:rFonts w:hint="eastAsia"/>
          <w:lang w:val="en-US" w:eastAsia="zh-CN"/>
        </w:rPr>
      </w:pPr>
      <w:r>
        <w:rPr>
          <w:rFonts w:hint="eastAsia"/>
          <w:lang w:val="en-US" w:eastAsia="zh-CN"/>
        </w:rPr>
        <w:t>（二）没有对展会主办方给予指导、监督的；</w:t>
      </w:r>
    </w:p>
    <w:p>
      <w:pPr>
        <w:pStyle w:val="2"/>
        <w:spacing w:line="240" w:lineRule="auto"/>
        <w:rPr>
          <w:rFonts w:hint="eastAsia"/>
          <w:lang w:val="en-US" w:eastAsia="zh-CN"/>
        </w:rPr>
      </w:pPr>
      <w:r>
        <w:rPr>
          <w:rFonts w:hint="eastAsia"/>
          <w:lang w:val="en-US" w:eastAsia="zh-CN"/>
        </w:rPr>
        <w:t>（三）没有对展会专利保护工作尽到管理职责的；</w:t>
      </w:r>
    </w:p>
    <w:p>
      <w:pPr>
        <w:pStyle w:val="2"/>
        <w:spacing w:line="240" w:lineRule="auto"/>
        <w:rPr>
          <w:rFonts w:hint="eastAsia"/>
          <w:lang w:val="en-US" w:eastAsia="zh-CN"/>
        </w:rPr>
      </w:pPr>
      <w:r>
        <w:rPr>
          <w:rFonts w:hint="eastAsia"/>
          <w:lang w:val="en-US" w:eastAsia="zh-CN"/>
        </w:rPr>
        <w:t>（四）玩忽职守、滥用职权、徇私舞弊的。</w:t>
      </w:r>
    </w:p>
    <w:p>
      <w:pPr>
        <w:pStyle w:val="2"/>
        <w:spacing w:line="240" w:lineRule="auto"/>
        <w:rPr>
          <w:rFonts w:hint="eastAsia"/>
          <w:lang w:val="en-US" w:eastAsia="zh-CN"/>
        </w:rPr>
      </w:pPr>
    </w:p>
    <w:p>
      <w:pPr>
        <w:pStyle w:val="2"/>
        <w:spacing w:line="240" w:lineRule="auto"/>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第七章　附　则</w:t>
      </w:r>
    </w:p>
    <w:p>
      <w:pPr>
        <w:pStyle w:val="2"/>
        <w:spacing w:line="240" w:lineRule="auto"/>
        <w:rPr>
          <w:rFonts w:hint="eastAsia"/>
          <w:lang w:val="en-US" w:eastAsia="zh-CN"/>
        </w:rPr>
      </w:pPr>
    </w:p>
    <w:p>
      <w:pPr>
        <w:pStyle w:val="2"/>
        <w:spacing w:line="240" w:lineRule="auto"/>
        <w:rPr>
          <w:rFonts w:hint="eastAsia"/>
          <w:lang w:val="en-US" w:eastAsia="zh-CN"/>
        </w:rPr>
      </w:pPr>
      <w:r>
        <w:rPr>
          <w:rFonts w:hint="eastAsia" w:ascii="黑体" w:hAnsi="黑体" w:eastAsia="黑体" w:cs="黑体"/>
          <w:lang w:val="en-US" w:eastAsia="zh-CN"/>
        </w:rPr>
        <w:t>第四十六条</w:t>
      </w:r>
      <w:r>
        <w:rPr>
          <w:rFonts w:hint="eastAsia"/>
          <w:lang w:val="en-US" w:eastAsia="zh-CN"/>
        </w:rPr>
        <w:t>　中央和国家机关在粤主办的展会，参照本办法执行；其主管部门对展会专利保护另有规定的，可以从其规定。</w:t>
      </w:r>
    </w:p>
    <w:p>
      <w:pPr>
        <w:pStyle w:val="2"/>
        <w:spacing w:line="240" w:lineRule="auto"/>
        <w:rPr>
          <w:rFonts w:hint="eastAsia"/>
          <w:lang w:val="en-US" w:eastAsia="zh-CN"/>
        </w:rPr>
      </w:pPr>
      <w:r>
        <w:rPr>
          <w:rFonts w:hint="eastAsia" w:ascii="黑体" w:hAnsi="黑体" w:eastAsia="黑体" w:cs="黑体"/>
          <w:lang w:val="en-US" w:eastAsia="zh-CN"/>
        </w:rPr>
        <w:t>第四十七条</w:t>
      </w:r>
      <w:r>
        <w:rPr>
          <w:rFonts w:hint="eastAsia"/>
          <w:lang w:val="en-US" w:eastAsia="zh-CN"/>
        </w:rPr>
        <w:t>　本办法自2012年10月15日起施行。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3531F94"/>
    <w:rsid w:val="04B679C3"/>
    <w:rsid w:val="080F63D8"/>
    <w:rsid w:val="09341458"/>
    <w:rsid w:val="0B0912D7"/>
    <w:rsid w:val="0C850999"/>
    <w:rsid w:val="0DD47817"/>
    <w:rsid w:val="0E487641"/>
    <w:rsid w:val="0EBE3B42"/>
    <w:rsid w:val="151402D5"/>
    <w:rsid w:val="152D2DCA"/>
    <w:rsid w:val="167E367B"/>
    <w:rsid w:val="19C57EEB"/>
    <w:rsid w:val="1A6A2AAE"/>
    <w:rsid w:val="1B2A150D"/>
    <w:rsid w:val="1C4C3FC3"/>
    <w:rsid w:val="1DEC284C"/>
    <w:rsid w:val="1E6523AC"/>
    <w:rsid w:val="22440422"/>
    <w:rsid w:val="292E6AA8"/>
    <w:rsid w:val="31A15F24"/>
    <w:rsid w:val="395347B5"/>
    <w:rsid w:val="39A232A0"/>
    <w:rsid w:val="39E745AA"/>
    <w:rsid w:val="3B5A6BBB"/>
    <w:rsid w:val="3EDA13A6"/>
    <w:rsid w:val="414C6BCF"/>
    <w:rsid w:val="42310CF0"/>
    <w:rsid w:val="42F058B7"/>
    <w:rsid w:val="43412405"/>
    <w:rsid w:val="436109F6"/>
    <w:rsid w:val="441A38D4"/>
    <w:rsid w:val="49B61E97"/>
    <w:rsid w:val="4BC77339"/>
    <w:rsid w:val="4C9236C5"/>
    <w:rsid w:val="4ECF359B"/>
    <w:rsid w:val="505C172E"/>
    <w:rsid w:val="517F6A99"/>
    <w:rsid w:val="52F46F0B"/>
    <w:rsid w:val="53D8014D"/>
    <w:rsid w:val="55E064E0"/>
    <w:rsid w:val="572C6D10"/>
    <w:rsid w:val="5DC34279"/>
    <w:rsid w:val="5F230190"/>
    <w:rsid w:val="608816D1"/>
    <w:rsid w:val="60EF4E7F"/>
    <w:rsid w:val="62887FEF"/>
    <w:rsid w:val="65B462A4"/>
    <w:rsid w:val="665233C1"/>
    <w:rsid w:val="69114E28"/>
    <w:rsid w:val="6AD9688B"/>
    <w:rsid w:val="6D0E3F22"/>
    <w:rsid w:val="6E0A5BA9"/>
    <w:rsid w:val="78185F32"/>
    <w:rsid w:val="7B9A30AB"/>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line="478" w:lineRule="exact"/>
      <w:jc w:val="center"/>
      <w:outlineLvl w:val="0"/>
    </w:pPr>
    <w:rPr>
      <w:rFonts w:hint="eastAsia" w:ascii="宋体" w:hAnsi="宋体" w:eastAsia="方正小标宋简体" w:cs="Times New Roman"/>
      <w:kern w:val="44"/>
      <w:sz w:val="40"/>
      <w:szCs w:val="48"/>
    </w:rPr>
  </w:style>
  <w:style w:type="paragraph" w:styleId="4">
    <w:name w:val="heading 2"/>
    <w:basedOn w:val="1"/>
    <w:next w:val="1"/>
    <w:unhideWhenUsed/>
    <w:qFormat/>
    <w:uiPriority w:val="0"/>
    <w:pPr>
      <w:keepNext/>
      <w:keepLines/>
      <w:spacing w:line="478" w:lineRule="exact"/>
      <w:outlineLvl w:val="1"/>
    </w:pPr>
    <w:rPr>
      <w:rFonts w:ascii="Arial" w:hAnsi="Arial" w:eastAsia="楷体_GB2312"/>
      <w:sz w:val="28"/>
      <w:szCs w:val="20"/>
    </w:rPr>
  </w:style>
  <w:style w:type="character" w:default="1" w:styleId="9">
    <w:name w:val="Default Paragraph Font"/>
    <w:link w:val="10"/>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Char Char Char Char Char Char Char Char Char Char Char Char"/>
    <w:basedOn w:val="11"/>
    <w:link w:val="9"/>
    <w:qFormat/>
    <w:uiPriority w:val="0"/>
    <w:pPr>
      <w:widowControl/>
      <w:spacing w:after="160" w:afterLines="0" w:line="240" w:lineRule="exact"/>
      <w:jc w:val="left"/>
    </w:pPr>
  </w:style>
  <w:style w:type="paragraph" w:customStyle="1" w:styleId="1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styleId="12">
    <w:name w:val="Hyperlink"/>
    <w:basedOn w:val="9"/>
    <w:unhideWhenUsed/>
    <w:qFormat/>
    <w:uiPriority w:val="0"/>
    <w:rPr>
      <w:color w:val="333333"/>
      <w:u w:val="none"/>
    </w:rPr>
  </w:style>
  <w:style w:type="paragraph" w:customStyle="1" w:styleId="13">
    <w:name w:val="省级二级标题"/>
    <w:basedOn w:val="4"/>
    <w:qFormat/>
    <w:uiPriority w:val="0"/>
    <w:pPr>
      <w:jc w:val="center"/>
    </w:pPr>
    <w:rPr>
      <w:rFonts w:ascii="Cambria" w:hAnsi="Cambria" w:eastAsia="黑体" w:cs="Times New Roman"/>
      <w:bCs/>
      <w:szCs w:val="32"/>
    </w:rPr>
  </w:style>
  <w:style w:type="character" w:customStyle="1" w:styleId="14">
    <w:name w:val="font_fulltext1"/>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5681</Words>
  <Characters>5710</Characters>
  <Lines>1</Lines>
  <Paragraphs>1</Paragraphs>
  <TotalTime>70</TotalTime>
  <ScaleCrop>false</ScaleCrop>
  <LinksUpToDate>false</LinksUpToDate>
  <CharactersWithSpaces>5769</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DDZA10450</cp:lastModifiedBy>
  <cp:lastPrinted>2021-10-26T03:30:00Z</cp:lastPrinted>
  <dcterms:modified xsi:type="dcterms:W3CDTF">2022-04-26T03:56:24Z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