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广东省碳普惠行为方法学备案申请表</w:t>
      </w:r>
      <w:bookmarkStart w:id="0" w:name="_GoBack"/>
      <w:bookmarkEnd w:id="0"/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方法学名称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所属地区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方法学</w:t>
            </w:r>
          </w:p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编制单位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联系人</w:t>
            </w:r>
            <w:r>
              <w:rPr>
                <w:rFonts w:eastAsia="楷体_GB2312"/>
                <w:sz w:val="24"/>
                <w:szCs w:val="24"/>
                <w:lang w:val="en-US"/>
              </w:rPr>
              <w:t>/</w:t>
            </w:r>
            <w:r>
              <w:rPr>
                <w:rFonts w:hint="eastAsia" w:ascii="Times New Roman" w:eastAsia="楷体_GB2312" w:cs="楷体_GB2312"/>
                <w:sz w:val="24"/>
                <w:szCs w:val="24"/>
              </w:rPr>
              <w:t>职务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联系人电话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电子邮箱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联系地址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48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方法学领域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可再生能源；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能效提升；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交通；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sz w:val="24"/>
                <w:szCs w:val="24"/>
              </w:rPr>
              <w:t>农林业；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节能与低碳产品；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废弃物处理；</w:t>
            </w:r>
            <w:r>
              <w:rPr>
                <w:rFonts w:eastAsia="楷体_GB2312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hint="eastAsia" w:ascii="Times New Roman" w:eastAsia="楷体_GB2312" w:cs="楷体_GB2312"/>
                <w:bCs/>
                <w:color w:val="000000"/>
                <w:sz w:val="24"/>
                <w:szCs w:val="24"/>
                <w:lang w:val="en-U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方法学简介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480"/>
              <w:rPr>
                <w:rFonts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市级主管</w:t>
            </w:r>
          </w:p>
          <w:p>
            <w:pPr>
              <w:pStyle w:val="6"/>
              <w:widowControl/>
              <w:spacing w:line="300" w:lineRule="exact"/>
              <w:ind w:left="0" w:firstLine="0" w:firstLineChars="0"/>
              <w:jc w:val="center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部门意见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0" w:firstLineChars="0"/>
              <w:rPr>
                <w:rFonts w:eastAsia="楷体_GB2312"/>
                <w:sz w:val="24"/>
                <w:szCs w:val="24"/>
                <w:lang w:val="en-US"/>
              </w:rPr>
            </w:pPr>
          </w:p>
          <w:p>
            <w:pPr>
              <w:pStyle w:val="6"/>
              <w:widowControl/>
              <w:spacing w:line="300" w:lineRule="exact"/>
              <w:ind w:left="0" w:firstLine="3600" w:firstLineChars="1500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单位盖章</w:t>
            </w:r>
          </w:p>
          <w:p>
            <w:pPr>
              <w:pStyle w:val="6"/>
              <w:widowControl/>
              <w:spacing w:line="300" w:lineRule="exact"/>
              <w:ind w:left="0" w:firstLine="3360" w:firstLineChars="1400"/>
              <w:rPr>
                <w:rFonts w:eastAsia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Times New Roman" w:eastAsia="楷体_GB2312" w:cs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Times New Roman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D410A"/>
    <w:rsid w:val="1DBE446A"/>
    <w:rsid w:val="1F3A6022"/>
    <w:rsid w:val="478C3F3B"/>
    <w:rsid w:val="53D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列出段落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2022-04-04T05:40:00Z</dcterms:created>
  <dc:creator>彭爱华</dc:creator>
  <cp:lastModifiedBy>DDZA10450</cp:lastModifiedBy>
  <dcterms:modified xsi:type="dcterms:W3CDTF">2022-05-10T03:06:07Z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