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Times New Roman" w:hAnsi="Times New Roman"/>
        </w:rPr>
      </w:pPr>
    </w:p>
    <w:p>
      <w:pPr>
        <w:pStyle w:val="3"/>
        <w:spacing w:line="240" w:lineRule="auto"/>
        <w:rPr>
          <w:rFonts w:ascii="Times New Roman" w:hAnsi="Times New Roman"/>
        </w:rPr>
      </w:pPr>
    </w:p>
    <w:p>
      <w:pPr>
        <w:pStyle w:val="3"/>
        <w:spacing w:line="240" w:lineRule="auto"/>
        <w:rPr>
          <w:rFonts w:ascii="Times New Roman" w:hAnsi="Times New Roman" w:cs="Times New Roman"/>
        </w:rPr>
      </w:pPr>
      <w:r>
        <w:rPr>
          <w:rFonts w:hint="default" w:eastAsia="宋体"/>
          <w:sz w:val="44"/>
          <w:szCs w:val="44"/>
        </w:rPr>
        <w:t>广东省邮电通信线路保护规定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楷体_GB2312" w:hAnsi="楷体_GB2312" w:eastAsia="楷体_GB2312" w:cs="楷体_GB2312"/>
          <w:color w:val="333333"/>
          <w:sz w:val="32"/>
          <w:szCs w:val="32"/>
          <w:shd w:val="clear" w:color="auto" w:fill="FFFFFF"/>
        </w:rPr>
      </w:pPr>
      <w:r>
        <w:rPr>
          <w:rFonts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1990年11月28日粤府〔1990〕</w:t>
      </w:r>
      <w:bookmarkStart w:id="0" w:name="_GoBack"/>
      <w:bookmarkEnd w:id="0"/>
      <w:r>
        <w:rPr>
          <w:rFonts w:hint="eastAsia" w:ascii="楷体_GB2312" w:hAnsi="楷体_GB2312" w:eastAsia="楷体_GB2312" w:cs="楷体_GB2312"/>
          <w:color w:val="333333"/>
          <w:sz w:val="32"/>
          <w:szCs w:val="32"/>
          <w:shd w:val="clear" w:color="auto" w:fill="FFFFFF"/>
          <w:lang w:val="en-US" w:eastAsia="zh-CN"/>
        </w:rPr>
        <w:t>105号公布  根据1997年12月31日广东省人民政府令第33号修订</w:t>
      </w:r>
      <w:r>
        <w:rPr>
          <w:rFonts w:ascii="楷体_GB2312" w:hAnsi="楷体_GB2312" w:eastAsia="楷体_GB2312" w:cs="楷体_GB2312"/>
          <w:color w:val="333333"/>
          <w:sz w:val="32"/>
          <w:szCs w:val="32"/>
          <w:shd w:val="clear" w:color="auto" w:fill="FFFFFF"/>
        </w:rPr>
        <w:t>）</w:t>
      </w:r>
    </w:p>
    <w:p>
      <w:pPr>
        <w:pStyle w:val="2"/>
      </w:pPr>
    </w:p>
    <w:p>
      <w:pPr>
        <w:pStyle w:val="2"/>
        <w:spacing w:line="240" w:lineRule="auto"/>
        <w:rPr>
          <w:rFonts w:hint="eastAsia"/>
          <w:sz w:val="32"/>
          <w:szCs w:val="32"/>
        </w:rPr>
      </w:pPr>
      <w:r>
        <w:rPr>
          <w:rFonts w:hint="eastAsia" w:ascii="黑体" w:hAnsi="黑体" w:eastAsia="黑体" w:cs="黑体"/>
          <w:sz w:val="32"/>
          <w:szCs w:val="32"/>
        </w:rPr>
        <w:t>第一条</w:t>
      </w:r>
      <w:r>
        <w:rPr>
          <w:rFonts w:hint="eastAsia"/>
          <w:sz w:val="32"/>
          <w:szCs w:val="32"/>
        </w:rPr>
        <w:t>　为保障邮电通信线路安全和畅通，根据《中华人民共和国宪法》和有关规定，结合我省的实际，制定本规定。</w:t>
      </w:r>
    </w:p>
    <w:p>
      <w:pPr>
        <w:pStyle w:val="2"/>
        <w:spacing w:line="240" w:lineRule="auto"/>
        <w:rPr>
          <w:rFonts w:hint="eastAsia"/>
          <w:sz w:val="32"/>
          <w:szCs w:val="32"/>
        </w:rPr>
      </w:pPr>
      <w:r>
        <w:rPr>
          <w:rFonts w:hint="eastAsia" w:ascii="黑体" w:hAnsi="黑体" w:eastAsia="黑体" w:cs="黑体"/>
          <w:sz w:val="32"/>
          <w:szCs w:val="32"/>
        </w:rPr>
        <w:t>第二条</w:t>
      </w:r>
      <w:r>
        <w:rPr>
          <w:rFonts w:hint="eastAsia"/>
          <w:sz w:val="32"/>
          <w:szCs w:val="32"/>
        </w:rPr>
        <w:t>　本规定适用于本省区域内的一切邮电通信线路（以下简称通信线路）。</w:t>
      </w:r>
    </w:p>
    <w:p>
      <w:pPr>
        <w:pStyle w:val="2"/>
        <w:spacing w:line="240" w:lineRule="auto"/>
        <w:rPr>
          <w:rFonts w:hint="eastAsia"/>
          <w:sz w:val="32"/>
          <w:szCs w:val="32"/>
        </w:rPr>
      </w:pPr>
      <w:r>
        <w:rPr>
          <w:rFonts w:hint="eastAsia" w:ascii="黑体" w:hAnsi="黑体" w:eastAsia="黑体" w:cs="黑体"/>
          <w:sz w:val="32"/>
          <w:szCs w:val="32"/>
        </w:rPr>
        <w:t>第三条</w:t>
      </w:r>
      <w:r>
        <w:rPr>
          <w:rFonts w:hint="eastAsia"/>
          <w:sz w:val="32"/>
          <w:szCs w:val="32"/>
        </w:rPr>
        <w:t>　通信线路包括：</w:t>
      </w:r>
    </w:p>
    <w:p>
      <w:pPr>
        <w:pStyle w:val="2"/>
        <w:spacing w:line="240" w:lineRule="auto"/>
        <w:rPr>
          <w:rFonts w:hint="eastAsia"/>
          <w:sz w:val="32"/>
          <w:szCs w:val="32"/>
        </w:rPr>
      </w:pPr>
      <w:r>
        <w:rPr>
          <w:rFonts w:hint="eastAsia"/>
          <w:sz w:val="32"/>
          <w:szCs w:val="32"/>
        </w:rPr>
        <w:t>（一）架空线路：电杆、电线、电缆、防雷地线、线担、隔电子、拉线及其他附属设施；</w:t>
      </w:r>
    </w:p>
    <w:p>
      <w:pPr>
        <w:pStyle w:val="2"/>
        <w:spacing w:line="240" w:lineRule="auto"/>
        <w:rPr>
          <w:rFonts w:hint="eastAsia"/>
          <w:sz w:val="32"/>
          <w:szCs w:val="32"/>
        </w:rPr>
      </w:pPr>
      <w:r>
        <w:rPr>
          <w:rFonts w:hint="eastAsia"/>
          <w:sz w:val="32"/>
          <w:szCs w:val="32"/>
        </w:rPr>
        <w:t>（二）埋设线路：电缆（地下电缆、水底或海底电缆、管道电缆）、管道、人孔、标石、水线标志、无人值守增音（中继）站、电缆充气站及其他附属设施；</w:t>
      </w:r>
    </w:p>
    <w:p>
      <w:pPr>
        <w:pStyle w:val="2"/>
        <w:spacing w:line="240" w:lineRule="auto"/>
        <w:rPr>
          <w:rFonts w:hint="eastAsia"/>
          <w:sz w:val="32"/>
          <w:szCs w:val="32"/>
        </w:rPr>
      </w:pPr>
      <w:r>
        <w:rPr>
          <w:rFonts w:hint="eastAsia"/>
          <w:sz w:val="32"/>
          <w:szCs w:val="32"/>
        </w:rPr>
        <w:t>（三）无线线路：通信卫星地球站、无线收发讯台、微波站、微波中继站、微波无源反射板、天线、天线馈线、杆塔、导线、波导、供电及其他附属设施。</w:t>
      </w:r>
    </w:p>
    <w:p>
      <w:pPr>
        <w:pStyle w:val="2"/>
        <w:spacing w:line="240" w:lineRule="auto"/>
        <w:rPr>
          <w:rFonts w:hint="eastAsia"/>
          <w:sz w:val="32"/>
          <w:szCs w:val="32"/>
        </w:rPr>
      </w:pPr>
      <w:r>
        <w:rPr>
          <w:rFonts w:hint="eastAsia" w:ascii="黑体" w:hAnsi="黑体" w:eastAsia="黑体" w:cs="黑体"/>
          <w:sz w:val="32"/>
          <w:szCs w:val="32"/>
        </w:rPr>
        <w:t>第四条</w:t>
      </w:r>
      <w:r>
        <w:rPr>
          <w:rFonts w:hint="eastAsia"/>
          <w:sz w:val="32"/>
          <w:szCs w:val="32"/>
        </w:rPr>
        <w:t>　通信线路由邮电部门管理、使用和维护。各级人民政府要加强对保护通信线路工作的领导，贯彻专业护线和群众护线相结合的原则，开展护线联防。在通信线路遭受自然灾害或人为破坏时，应立即组织力量协助邮电部门及时修复。</w:t>
      </w:r>
    </w:p>
    <w:p>
      <w:pPr>
        <w:pStyle w:val="2"/>
        <w:spacing w:line="240" w:lineRule="auto"/>
        <w:rPr>
          <w:rFonts w:hint="eastAsia"/>
          <w:sz w:val="32"/>
          <w:szCs w:val="32"/>
        </w:rPr>
      </w:pPr>
      <w:r>
        <w:rPr>
          <w:rFonts w:hint="eastAsia" w:ascii="黑体" w:hAnsi="黑体" w:eastAsia="黑体" w:cs="黑体"/>
          <w:sz w:val="32"/>
          <w:szCs w:val="32"/>
        </w:rPr>
        <w:t>第五条</w:t>
      </w:r>
      <w:r>
        <w:rPr>
          <w:rFonts w:hint="eastAsia"/>
          <w:sz w:val="32"/>
          <w:szCs w:val="32"/>
        </w:rPr>
        <w:t>　公安机关、沿线各单位和人民群众都有保护通信线路的义务。对保护通信线路成绩显著的单位和个人，由邮电部门给予表彰和奖励。</w:t>
      </w:r>
    </w:p>
    <w:p>
      <w:pPr>
        <w:pStyle w:val="2"/>
        <w:spacing w:line="240" w:lineRule="auto"/>
        <w:rPr>
          <w:rFonts w:hint="eastAsia"/>
          <w:sz w:val="32"/>
          <w:szCs w:val="32"/>
        </w:rPr>
      </w:pPr>
      <w:r>
        <w:rPr>
          <w:rFonts w:hint="eastAsia" w:ascii="黑体" w:hAnsi="黑体" w:eastAsia="黑体" w:cs="黑体"/>
          <w:sz w:val="32"/>
          <w:szCs w:val="32"/>
        </w:rPr>
        <w:t>第六条</w:t>
      </w:r>
      <w:r>
        <w:rPr>
          <w:rFonts w:hint="eastAsia"/>
          <w:sz w:val="32"/>
          <w:szCs w:val="32"/>
        </w:rPr>
        <w:t>　通信线路一般不得迁改。除邮电部门外，任何单位或个人确需迁改通信线路时，应先经邮电部门同意，并承担迁改线路或其他防护措施的工料费用。迁改工程由邮电部门负责。</w:t>
      </w:r>
    </w:p>
    <w:p>
      <w:pPr>
        <w:pStyle w:val="2"/>
        <w:spacing w:line="240" w:lineRule="auto"/>
        <w:rPr>
          <w:rFonts w:hint="eastAsia"/>
          <w:sz w:val="32"/>
          <w:szCs w:val="32"/>
        </w:rPr>
      </w:pPr>
      <w:r>
        <w:rPr>
          <w:rFonts w:hint="eastAsia" w:ascii="黑体" w:hAnsi="黑体" w:eastAsia="黑体" w:cs="黑体"/>
          <w:sz w:val="32"/>
          <w:szCs w:val="32"/>
        </w:rPr>
        <w:t>第七条</w:t>
      </w:r>
      <w:r>
        <w:rPr>
          <w:rFonts w:hint="eastAsia"/>
          <w:sz w:val="32"/>
          <w:szCs w:val="32"/>
        </w:rPr>
        <w:t>　距离现有架空电线和架空电缆两侧最边线各两米、地下电缆两侧各一米范围内，不得兴建建筑物、修筑道路、敷设管线。在微波通道不得兴建妨碍通信的高层建筑及其它设施。</w:t>
      </w:r>
    </w:p>
    <w:p>
      <w:pPr>
        <w:pStyle w:val="2"/>
        <w:spacing w:line="240" w:lineRule="auto"/>
        <w:rPr>
          <w:rFonts w:hint="eastAsia"/>
          <w:sz w:val="32"/>
          <w:szCs w:val="32"/>
        </w:rPr>
      </w:pPr>
      <w:r>
        <w:rPr>
          <w:rFonts w:hint="eastAsia" w:ascii="黑体" w:hAnsi="黑体" w:eastAsia="黑体" w:cs="黑体"/>
          <w:sz w:val="32"/>
          <w:szCs w:val="32"/>
        </w:rPr>
        <w:t>第八条</w:t>
      </w:r>
      <w:r>
        <w:rPr>
          <w:rFonts w:hint="eastAsia"/>
          <w:sz w:val="32"/>
          <w:szCs w:val="32"/>
        </w:rPr>
        <w:t>　在通信线路附近兴建输电线路、电气铁路、广播线路等可能产生危险和干扰影响的设施或兴建有腐蚀性排放物的工厂等，需征得邮电部门同意并按国家有关规程处理，在采取有效的防护措施后才能兴建。建设单位应承担采取防护措施所支出的经费。</w:t>
      </w:r>
    </w:p>
    <w:p>
      <w:pPr>
        <w:pStyle w:val="2"/>
        <w:spacing w:line="240" w:lineRule="auto"/>
        <w:rPr>
          <w:rFonts w:hint="eastAsia"/>
          <w:sz w:val="32"/>
          <w:szCs w:val="32"/>
        </w:rPr>
      </w:pPr>
      <w:r>
        <w:rPr>
          <w:rFonts w:hint="eastAsia" w:ascii="黑体" w:hAnsi="黑体" w:eastAsia="黑体" w:cs="黑体"/>
          <w:sz w:val="32"/>
          <w:szCs w:val="32"/>
        </w:rPr>
        <w:t>第九条</w:t>
      </w:r>
      <w:r>
        <w:rPr>
          <w:rFonts w:hint="eastAsia"/>
          <w:sz w:val="32"/>
          <w:szCs w:val="32"/>
        </w:rPr>
        <w:t>　树木与通信线路之间应保持不少于两米距离。树木因自然生长等而影响通信线路安全时，邮电部门可以修剪危及通信线路的树木。确需砍伐树木的须按规定向有关部门办理审批手续。发生自然灾害或突发事故等紧急情况时，邮电部门可以砍伐危及通信线路的树木，并及时通知有关单位和补办有关手续。</w:t>
      </w:r>
    </w:p>
    <w:p>
      <w:pPr>
        <w:pStyle w:val="2"/>
        <w:spacing w:line="240" w:lineRule="auto"/>
        <w:rPr>
          <w:rFonts w:hint="eastAsia"/>
          <w:sz w:val="32"/>
          <w:szCs w:val="32"/>
        </w:rPr>
      </w:pPr>
      <w:r>
        <w:rPr>
          <w:rFonts w:hint="eastAsia" w:ascii="黑体" w:hAnsi="黑体" w:eastAsia="黑体" w:cs="黑体"/>
          <w:sz w:val="32"/>
          <w:szCs w:val="32"/>
        </w:rPr>
        <w:t>第十条</w:t>
      </w:r>
      <w:r>
        <w:rPr>
          <w:rFonts w:hint="eastAsia"/>
          <w:sz w:val="32"/>
          <w:szCs w:val="32"/>
        </w:rPr>
        <w:t>　在通信线路附近进行施工、作业、种植或其他活动，必须遵守以下规定：</w:t>
      </w:r>
    </w:p>
    <w:p>
      <w:pPr>
        <w:pStyle w:val="2"/>
        <w:spacing w:line="240" w:lineRule="auto"/>
        <w:rPr>
          <w:rFonts w:hint="eastAsia"/>
          <w:sz w:val="32"/>
          <w:szCs w:val="32"/>
        </w:rPr>
      </w:pPr>
      <w:r>
        <w:rPr>
          <w:rFonts w:hint="eastAsia"/>
          <w:sz w:val="32"/>
          <w:szCs w:val="32"/>
        </w:rPr>
        <w:t>（一）不准在距通信线路一百米范围内进行爆破、堆放易燃易爆品或设置易燃易爆品仓库。在距通信线路一百米范围外进行爆破、堆放易燃易爆品或设置易燃易爆品仓库的，应有安全防护措施，以不损坏通信线路为标准。在通信线路两侧各五米范围内施工、砍伐树木亦应有相应安全防护措施；</w:t>
      </w:r>
    </w:p>
    <w:p>
      <w:pPr>
        <w:pStyle w:val="2"/>
        <w:spacing w:line="240" w:lineRule="auto"/>
        <w:rPr>
          <w:rFonts w:hint="eastAsia"/>
          <w:sz w:val="32"/>
          <w:szCs w:val="32"/>
        </w:rPr>
      </w:pPr>
      <w:r>
        <w:rPr>
          <w:rFonts w:hint="eastAsia"/>
          <w:sz w:val="32"/>
          <w:szCs w:val="32"/>
        </w:rPr>
        <w:t>（二）不准在埋有地下电缆或管道电缆正上方地面两侧各一米范围内建筑、钻探、挖掘、葬坟，或堆放重物、垃圾、矿渣，或倾倒含酸、碱、盐的液体及进行其他可能危及电缆安全的作业；</w:t>
      </w:r>
    </w:p>
    <w:p>
      <w:pPr>
        <w:pStyle w:val="2"/>
        <w:spacing w:line="240" w:lineRule="auto"/>
        <w:rPr>
          <w:rFonts w:hint="eastAsia"/>
          <w:sz w:val="32"/>
          <w:szCs w:val="32"/>
        </w:rPr>
      </w:pPr>
      <w:r>
        <w:rPr>
          <w:rFonts w:hint="eastAsia"/>
          <w:sz w:val="32"/>
          <w:szCs w:val="32"/>
        </w:rPr>
        <w:t>（三）不准在设有过河水底电缆标志所标明的水域内，海图上标明的海底电缆位置两侧各两海里（港内为两侧各一百米）水域内抛锚、拖锚、拖网、挖沙、爆破或进行其他可能危及水底或海底电缆安全的作业；</w:t>
      </w:r>
    </w:p>
    <w:p>
      <w:pPr>
        <w:pStyle w:val="2"/>
        <w:spacing w:line="240" w:lineRule="auto"/>
        <w:rPr>
          <w:rFonts w:hint="eastAsia"/>
          <w:sz w:val="32"/>
          <w:szCs w:val="32"/>
        </w:rPr>
      </w:pPr>
      <w:r>
        <w:rPr>
          <w:rFonts w:hint="eastAsia"/>
          <w:sz w:val="32"/>
          <w:szCs w:val="32"/>
        </w:rPr>
        <w:t>（四）不准在埋有地下电缆或管道电缆的地面上两侧各三米范围内进行挖沙、取土作业或设置厕所、粪池、牲畜圈、沼气池及其他可能危及电缆安全、引起电缆腐蚀的建筑物；</w:t>
      </w:r>
    </w:p>
    <w:p>
      <w:pPr>
        <w:pStyle w:val="2"/>
        <w:spacing w:line="240" w:lineRule="auto"/>
        <w:rPr>
          <w:rFonts w:hint="eastAsia"/>
          <w:sz w:val="32"/>
          <w:szCs w:val="32"/>
        </w:rPr>
      </w:pPr>
      <w:r>
        <w:rPr>
          <w:rFonts w:hint="eastAsia"/>
          <w:sz w:val="32"/>
          <w:szCs w:val="32"/>
        </w:rPr>
        <w:t>（五）不准移动或损坏通信线路设施及其标石、标志、编号等附属设备；</w:t>
      </w:r>
    </w:p>
    <w:p>
      <w:pPr>
        <w:pStyle w:val="2"/>
        <w:spacing w:line="240" w:lineRule="auto"/>
        <w:rPr>
          <w:rFonts w:hint="eastAsia"/>
          <w:sz w:val="32"/>
          <w:szCs w:val="32"/>
        </w:rPr>
      </w:pPr>
      <w:r>
        <w:rPr>
          <w:rFonts w:hint="eastAsia"/>
          <w:sz w:val="32"/>
          <w:szCs w:val="32"/>
        </w:rPr>
        <w:t>（六）不准在架空线路下堆烧土肥。不准在通信电杆拉线周围五米范围内挖沙取土。不准在架空线路下和两侧各二米范围内或天线区域内建屋搭棚；</w:t>
      </w:r>
    </w:p>
    <w:p>
      <w:pPr>
        <w:pStyle w:val="2"/>
        <w:spacing w:line="240" w:lineRule="auto"/>
        <w:rPr>
          <w:rFonts w:hint="eastAsia"/>
          <w:sz w:val="32"/>
          <w:szCs w:val="32"/>
        </w:rPr>
      </w:pPr>
      <w:r>
        <w:rPr>
          <w:rFonts w:hint="eastAsia"/>
          <w:sz w:val="32"/>
          <w:szCs w:val="32"/>
        </w:rPr>
        <w:t>（七）不准在市区外电缆或架空电线两侧各二米、在市区内电缆两侧各零点七五米和架空电线两侧各一点二五米的范围内植树、种竹；</w:t>
      </w:r>
    </w:p>
    <w:p>
      <w:pPr>
        <w:pStyle w:val="2"/>
        <w:spacing w:line="240" w:lineRule="auto"/>
        <w:rPr>
          <w:rFonts w:hint="eastAsia"/>
          <w:sz w:val="32"/>
          <w:szCs w:val="32"/>
        </w:rPr>
      </w:pPr>
      <w:r>
        <w:rPr>
          <w:rFonts w:hint="eastAsia"/>
          <w:sz w:val="32"/>
          <w:szCs w:val="32"/>
        </w:rPr>
        <w:t>（八）不准攀登电杆、电线杆塔、拉线及其他附属设施；</w:t>
      </w:r>
    </w:p>
    <w:p>
      <w:pPr>
        <w:pStyle w:val="2"/>
        <w:spacing w:line="240" w:lineRule="auto"/>
        <w:rPr>
          <w:rFonts w:hint="eastAsia"/>
          <w:sz w:val="32"/>
          <w:szCs w:val="32"/>
        </w:rPr>
      </w:pPr>
      <w:r>
        <w:rPr>
          <w:rFonts w:hint="eastAsia"/>
          <w:sz w:val="32"/>
          <w:szCs w:val="32"/>
        </w:rPr>
        <w:t>（九）不准在电杆、拉线、天线、天线馈线杆塔、支架及其他附属设施上拴牲畜、搭挂导线或其他物件；</w:t>
      </w:r>
    </w:p>
    <w:p>
      <w:pPr>
        <w:pStyle w:val="2"/>
        <w:spacing w:line="240" w:lineRule="auto"/>
        <w:rPr>
          <w:rFonts w:hint="eastAsia"/>
          <w:sz w:val="32"/>
          <w:szCs w:val="32"/>
        </w:rPr>
      </w:pPr>
      <w:r>
        <w:rPr>
          <w:rFonts w:hint="eastAsia"/>
          <w:sz w:val="32"/>
          <w:szCs w:val="32"/>
        </w:rPr>
        <w:t>（十）不准向电杆、电线、隔电子、电缆、天线、天线馈线及其他附属设施射击、抛掷杂物或进行其他危害通信线路安全的活动。</w:t>
      </w:r>
    </w:p>
    <w:p>
      <w:pPr>
        <w:pStyle w:val="2"/>
        <w:spacing w:line="240" w:lineRule="auto"/>
        <w:rPr>
          <w:rFonts w:hint="eastAsia"/>
          <w:sz w:val="32"/>
          <w:szCs w:val="32"/>
        </w:rPr>
      </w:pPr>
      <w:r>
        <w:rPr>
          <w:rFonts w:hint="eastAsia" w:ascii="黑体" w:hAnsi="黑体" w:eastAsia="黑体" w:cs="黑体"/>
          <w:sz w:val="32"/>
          <w:szCs w:val="32"/>
        </w:rPr>
        <w:t>第十一条</w:t>
      </w:r>
      <w:r>
        <w:rPr>
          <w:rFonts w:hint="eastAsia"/>
          <w:sz w:val="32"/>
          <w:szCs w:val="32"/>
        </w:rPr>
        <w:t>　严禁偷盗破坏电杆、电线、电缆及其他通信线路设施。严禁窃听通信机密、危害通信安全。对没有持规定证明而出售废旧通信线路器材的，废品收购站和个体工商户不得收购。发现有盗卖、变卖通信线路器材的行为或可疑线索，应立即报告公安部门或邮电部门。</w:t>
      </w:r>
    </w:p>
    <w:p>
      <w:pPr>
        <w:pStyle w:val="2"/>
        <w:spacing w:line="240" w:lineRule="auto"/>
        <w:rPr>
          <w:rFonts w:hint="eastAsia"/>
          <w:sz w:val="32"/>
          <w:szCs w:val="32"/>
        </w:rPr>
      </w:pPr>
      <w:r>
        <w:rPr>
          <w:rFonts w:hint="eastAsia" w:ascii="黑体" w:hAnsi="黑体" w:eastAsia="黑体" w:cs="黑体"/>
          <w:sz w:val="32"/>
          <w:szCs w:val="32"/>
        </w:rPr>
        <w:t>第十二条</w:t>
      </w:r>
      <w:r>
        <w:rPr>
          <w:rFonts w:hint="eastAsia"/>
          <w:sz w:val="32"/>
          <w:szCs w:val="32"/>
        </w:rPr>
        <w:t>　因抢修通信线路需要，邮电部门可向公安机关申请办理《特种车辆</w:t>
      </w:r>
      <w:r>
        <w:rPr>
          <w:rFonts w:hint="eastAsia"/>
          <w:sz w:val="32"/>
          <w:szCs w:val="32"/>
          <w:lang w:val="en-US" w:eastAsia="zh-CN"/>
        </w:rPr>
        <w:t>通行证</w:t>
      </w:r>
      <w:r>
        <w:rPr>
          <w:rFonts w:hint="eastAsia"/>
          <w:sz w:val="32"/>
          <w:szCs w:val="32"/>
        </w:rPr>
        <w:t>》，公安机关应予以办理。通信抢修车辆凭公安机关签发的《特种车辆通行证》，可优先通过道口、渡口、桥梁；需在禁行路线通行、在禁停地段停车时，公安部门应准予通行、停车。</w:t>
      </w:r>
    </w:p>
    <w:p>
      <w:pPr>
        <w:pStyle w:val="2"/>
        <w:spacing w:line="240" w:lineRule="auto"/>
        <w:rPr>
          <w:rFonts w:hint="eastAsia"/>
          <w:sz w:val="32"/>
          <w:szCs w:val="32"/>
        </w:rPr>
      </w:pPr>
      <w:r>
        <w:rPr>
          <w:rFonts w:hint="eastAsia" w:ascii="黑体" w:hAnsi="黑体" w:eastAsia="黑体" w:cs="黑体"/>
          <w:sz w:val="32"/>
          <w:szCs w:val="32"/>
        </w:rPr>
        <w:t>第十三条</w:t>
      </w:r>
      <w:r>
        <w:rPr>
          <w:rFonts w:hint="eastAsia"/>
          <w:sz w:val="32"/>
          <w:szCs w:val="32"/>
        </w:rPr>
        <w:t>　对违反本规定第七条，进行违章建筑的单位和个人，按有关规定限期自行拆除。</w:t>
      </w:r>
    </w:p>
    <w:p>
      <w:pPr>
        <w:pStyle w:val="2"/>
        <w:spacing w:line="240" w:lineRule="auto"/>
        <w:rPr>
          <w:rFonts w:hint="eastAsia"/>
          <w:sz w:val="32"/>
          <w:szCs w:val="32"/>
        </w:rPr>
      </w:pPr>
      <w:r>
        <w:rPr>
          <w:rFonts w:hint="eastAsia" w:ascii="黑体" w:hAnsi="黑体" w:eastAsia="黑体" w:cs="黑体"/>
          <w:sz w:val="32"/>
          <w:szCs w:val="32"/>
        </w:rPr>
        <w:t>第十四条</w:t>
      </w:r>
      <w:r>
        <w:rPr>
          <w:rFonts w:hint="eastAsia"/>
          <w:sz w:val="32"/>
          <w:szCs w:val="32"/>
        </w:rPr>
        <w:t>　对违反本规定的单位和个人，视其情节轻重，分别按下列规定处罚：</w:t>
      </w:r>
    </w:p>
    <w:p>
      <w:pPr>
        <w:pStyle w:val="2"/>
        <w:spacing w:line="240" w:lineRule="auto"/>
        <w:rPr>
          <w:rFonts w:hint="eastAsia"/>
          <w:sz w:val="32"/>
          <w:szCs w:val="32"/>
        </w:rPr>
      </w:pPr>
      <w:r>
        <w:rPr>
          <w:rFonts w:hint="eastAsia"/>
          <w:sz w:val="32"/>
          <w:szCs w:val="32"/>
        </w:rPr>
        <w:t>（一）对违反本规定第六条、第八条、第十条，损坏、阻断通信线路的，邮电部门除给予批评教育外，并可责令其按国家有关规定赔偿经济损失和承担修复费用；</w:t>
      </w:r>
    </w:p>
    <w:p>
      <w:pPr>
        <w:pStyle w:val="2"/>
        <w:spacing w:line="240" w:lineRule="auto"/>
        <w:rPr>
          <w:rFonts w:hint="eastAsia"/>
          <w:sz w:val="32"/>
          <w:szCs w:val="32"/>
        </w:rPr>
      </w:pPr>
      <w:r>
        <w:rPr>
          <w:rFonts w:hint="eastAsia"/>
          <w:sz w:val="32"/>
          <w:szCs w:val="32"/>
        </w:rPr>
        <w:t>（二）对违反本规定第十一条，盗窃通信设备和非法收购通信器材，拒绝、阻碍邮电工作人员抢修或维护通信线路的，由公安部门按《中华人民共和国治安管理处罚条例》的有关规定处罚；</w:t>
      </w:r>
    </w:p>
    <w:p>
      <w:pPr>
        <w:pStyle w:val="2"/>
        <w:spacing w:line="240" w:lineRule="auto"/>
        <w:rPr>
          <w:rFonts w:hint="eastAsia"/>
          <w:sz w:val="32"/>
          <w:szCs w:val="32"/>
        </w:rPr>
      </w:pPr>
      <w:r>
        <w:rPr>
          <w:rFonts w:hint="eastAsia"/>
          <w:sz w:val="32"/>
          <w:szCs w:val="32"/>
        </w:rPr>
        <w:t>（三）对违反本规定情节严重、触犯刑律的，由司法机关依法追究刑事责任。</w:t>
      </w:r>
    </w:p>
    <w:p>
      <w:pPr>
        <w:pStyle w:val="2"/>
        <w:spacing w:line="240" w:lineRule="auto"/>
        <w:rPr>
          <w:sz w:val="32"/>
          <w:szCs w:val="32"/>
        </w:rPr>
      </w:pPr>
      <w:r>
        <w:rPr>
          <w:rFonts w:hint="eastAsia" w:ascii="黑体" w:hAnsi="黑体" w:eastAsia="黑体" w:cs="黑体"/>
          <w:sz w:val="32"/>
          <w:szCs w:val="32"/>
        </w:rPr>
        <w:t>第十五条</w:t>
      </w:r>
      <w:r>
        <w:rPr>
          <w:rFonts w:hint="eastAsia"/>
          <w:sz w:val="32"/>
          <w:szCs w:val="32"/>
        </w:rPr>
        <w:t>　本规定自颁布之日起施行。过去我省的规定与本规定有抵触的，以本规定为准。</w:t>
      </w:r>
    </w:p>
    <w:p>
      <w:pPr>
        <w:spacing w:line="240" w:lineRule="auto"/>
        <w:rPr>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广东省人民政府发布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983"/>
    <w:rsid w:val="000D09FE"/>
    <w:rsid w:val="00172A27"/>
    <w:rsid w:val="004852FD"/>
    <w:rsid w:val="0052772A"/>
    <w:rsid w:val="006068AC"/>
    <w:rsid w:val="009D7E16"/>
    <w:rsid w:val="00AE2590"/>
    <w:rsid w:val="00B8622C"/>
    <w:rsid w:val="00BB4975"/>
    <w:rsid w:val="00C538B8"/>
    <w:rsid w:val="00C72059"/>
    <w:rsid w:val="00DA4CC7"/>
    <w:rsid w:val="019E71BD"/>
    <w:rsid w:val="04B679C3"/>
    <w:rsid w:val="05290A2C"/>
    <w:rsid w:val="080F63D8"/>
    <w:rsid w:val="09341458"/>
    <w:rsid w:val="0B0912D7"/>
    <w:rsid w:val="0EBE3B42"/>
    <w:rsid w:val="12976BB0"/>
    <w:rsid w:val="1460761E"/>
    <w:rsid w:val="152D2DCA"/>
    <w:rsid w:val="1DEC284C"/>
    <w:rsid w:val="1E6523AC"/>
    <w:rsid w:val="22440422"/>
    <w:rsid w:val="288D6864"/>
    <w:rsid w:val="2F187450"/>
    <w:rsid w:val="31A15F24"/>
    <w:rsid w:val="395347B5"/>
    <w:rsid w:val="39895AFF"/>
    <w:rsid w:val="39A232A0"/>
    <w:rsid w:val="39E745AA"/>
    <w:rsid w:val="3B5A6BBB"/>
    <w:rsid w:val="3EDA13A6"/>
    <w:rsid w:val="42F058B7"/>
    <w:rsid w:val="436109F6"/>
    <w:rsid w:val="441A38D4"/>
    <w:rsid w:val="4BC77339"/>
    <w:rsid w:val="4C9236C5"/>
    <w:rsid w:val="4E5C240A"/>
    <w:rsid w:val="50384BCC"/>
    <w:rsid w:val="505C172E"/>
    <w:rsid w:val="52062EE3"/>
    <w:rsid w:val="52F46F0B"/>
    <w:rsid w:val="53D8014D"/>
    <w:rsid w:val="55E064E0"/>
    <w:rsid w:val="572C6D10"/>
    <w:rsid w:val="58983748"/>
    <w:rsid w:val="5AA16C48"/>
    <w:rsid w:val="5BB02DBA"/>
    <w:rsid w:val="5DC34279"/>
    <w:rsid w:val="608816D1"/>
    <w:rsid w:val="60EF4E7F"/>
    <w:rsid w:val="63610424"/>
    <w:rsid w:val="665233C1"/>
    <w:rsid w:val="69114E28"/>
    <w:rsid w:val="6AD9688B"/>
    <w:rsid w:val="6D0E3F22"/>
    <w:rsid w:val="6F0205A5"/>
    <w:rsid w:val="72ED4C9A"/>
    <w:rsid w:val="747C676C"/>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link w:val="15"/>
    <w:unhideWhenUsed/>
    <w:qFormat/>
    <w:uiPriority w:val="0"/>
    <w:pPr>
      <w:keepNext/>
      <w:keepLines/>
      <w:spacing w:line="478" w:lineRule="exact"/>
      <w:outlineLvl w:val="1"/>
    </w:pPr>
    <w:rPr>
      <w:rFonts w:ascii="Arial" w:hAnsi="Arial" w:eastAsia="楷体_GB2312"/>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paragraph" w:styleId="5">
    <w:name w:val="annotation text"/>
    <w:basedOn w:val="1"/>
    <w:qFormat/>
    <w:uiPriority w:val="0"/>
    <w:pPr>
      <w:jc w:val="left"/>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4">
    <w:name w:val="标题 1 Char"/>
    <w:basedOn w:val="11"/>
    <w:link w:val="3"/>
    <w:qFormat/>
    <w:uiPriority w:val="9"/>
    <w:rPr>
      <w:rFonts w:ascii="宋体" w:hAnsi="宋体" w:eastAsia="方正小标宋简体"/>
      <w:kern w:val="44"/>
      <w:sz w:val="40"/>
      <w:szCs w:val="48"/>
    </w:rPr>
  </w:style>
  <w:style w:type="character" w:customStyle="1" w:styleId="15">
    <w:name w:val="标题 2 Char"/>
    <w:basedOn w:val="11"/>
    <w:link w:val="4"/>
    <w:qFormat/>
    <w:uiPriority w:val="0"/>
    <w:rPr>
      <w:rFonts w:ascii="Arial" w:hAnsi="Arial" w:eastAsia="楷体_GB2312" w:cstheme="minorBidi"/>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2131</Words>
  <Characters>2147</Characters>
  <Lines>17</Lines>
  <Paragraphs>4</Paragraphs>
  <TotalTime>8</TotalTime>
  <ScaleCrop>false</ScaleCrop>
  <LinksUpToDate>false</LinksUpToDate>
  <CharactersWithSpaces>2166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2021-12-10T06:34:00Z</dcterms:created>
  <dc:creator>t</dc:creator>
  <cp:lastModifiedBy>Taco</cp:lastModifiedBy>
  <cp:lastPrinted>2021-10-26T03:30:00Z</cp:lastPrinted>
  <dcterms:modified xsi:type="dcterms:W3CDTF">2022-04-06T09:24:01Z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