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2"/>
        <w:spacing w:line="240" w:lineRule="auto"/>
        <w:rPr>
          <w:rFonts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</w:rPr>
      </w:pPr>
    </w:p>
    <w:p>
      <w:pPr>
        <w:pStyle w:val="3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hint="default" w:eastAsia="宋体"/>
          <w:color w:val="000000" w:themeColor="text1"/>
          <w:sz w:val="44"/>
          <w:szCs w:val="44"/>
        </w:rPr>
        <w:t>广东省出租小汽车计费器管理办法</w:t>
      </w:r>
    </w:p>
    <w:p>
      <w:pPr>
        <w:tabs>
          <w:tab w:val="left" w:pos="2310"/>
        </w:tabs>
        <w:spacing w:line="240" w:lineRule="auto"/>
        <w:ind w:firstLine="640" w:firstLineChars="200"/>
        <w:jc w:val="left"/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(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1987年1月26日粤办函〔198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7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bookmarkStart w:id="0" w:name="_GoBack"/>
      <w:bookmarkEnd w:id="0"/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41号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公布 根据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1998年1月18日广东省人民政府令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35号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修订</w:t>
      </w:r>
      <w:r>
        <w:rPr>
          <w:rFonts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</w:t>
      </w:r>
    </w:p>
    <w:p>
      <w:pPr>
        <w:tabs>
          <w:tab w:val="left" w:pos="2310"/>
        </w:tabs>
        <w:spacing w:line="240" w:lineRule="auto"/>
        <w:ind w:firstLine="560" w:firstLineChars="200"/>
        <w:jc w:val="center"/>
        <w:rPr>
          <w:rFonts w:ascii="Times New Roman" w:hAnsi="Times New Roman" w:eastAsia="楷体_GB2312" w:cs="Times New Roman"/>
          <w:color w:val="000000" w:themeColor="text1"/>
          <w:sz w:val="28"/>
        </w:rPr>
      </w:pPr>
    </w:p>
    <w:p>
      <w:pPr>
        <w:pStyle w:val="11"/>
        <w:numPr>
          <w:ilvl w:val="0"/>
          <w:numId w:val="1"/>
        </w:numPr>
        <w:spacing w:line="240" w:lineRule="auto"/>
        <w:rPr>
          <w:rFonts w:hint="eastAsia" w:ascii="黑体" w:hAnsi="黑体" w:eastAsia="黑体"/>
          <w:b w:val="0"/>
          <w:bCs w:val="0"/>
          <w:shd w:val="clear" w:color="auto" w:fill="FFFFFF"/>
        </w:rPr>
      </w:pPr>
      <w:r>
        <w:rPr>
          <w:rFonts w:ascii="黑体" w:hAnsi="黑体" w:eastAsia="黑体"/>
          <w:b w:val="0"/>
          <w:bCs w:val="0"/>
          <w:shd w:val="clear" w:color="auto" w:fill="FFFFFF"/>
        </w:rPr>
        <w:t>总则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第一条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为加强对出租小汽车计费器（以下简称计费器）的管理，维护乘客和出租小汽车经营者的合法权益，根据《中华人民共和国计量法》有关规定，制定本办法。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第二条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凡在我省经营出租小汽车的单位和个人，其出租小汽车计费器的安装、检定以及整车检验，必须遵守本办法。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第三条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各级标准计量管理局负责本办法的实施及其监督管理。</w:t>
      </w:r>
    </w:p>
    <w:p>
      <w:pPr>
        <w:pStyle w:val="11"/>
        <w:spacing w:line="240" w:lineRule="auto"/>
        <w:rPr>
          <w:rFonts w:hint="eastAsia" w:ascii="黑体" w:hAnsi="黑体" w:eastAsia="黑体"/>
          <w:b w:val="0"/>
          <w:bCs w:val="0"/>
          <w:shd w:val="clear" w:color="auto" w:fill="FFFFFF"/>
        </w:rPr>
      </w:pPr>
      <w:r>
        <w:rPr>
          <w:rFonts w:ascii="黑体" w:hAnsi="黑体" w:eastAsia="黑体"/>
          <w:b w:val="0"/>
          <w:bCs w:val="0"/>
          <w:shd w:val="clear" w:color="auto" w:fill="FFFFFF"/>
        </w:rPr>
        <w:t>第二章　监督和管理</w:t>
      </w:r>
    </w:p>
    <w:p>
      <w:pPr>
        <w:spacing w:line="240" w:lineRule="auto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第四条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凡营业中以里程计费的出租小汽车，必须安装计费器，并经检定合格后方可使用。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有条件的地区必须同时实行整车运行计费检验，合格的方可营运。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第五条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出租小汽车里程营运价格，由物价部门按物价管理权限审定。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第六条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具有昼间、夜间、郊区、郊夜计费功能的计费器，必须分别按规定时刻和区域使用。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第七条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出租小汽车驾驶员必须熟悉计费器的使用规程。营运中计费器发生故障，须即送检合格后，方可继续营运。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第八条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计量监督员、物价检查员有权检查出租小汽车计费器的使用情况。但截车检查的，必须在公安部门或其授权的管理部门执勤人员配合下方可进行。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第九条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各级监督管理机关和出租小汽车经营者应开设乘客投诉业务，制订投诉程序并予公布。</w:t>
      </w:r>
    </w:p>
    <w:p>
      <w:pPr>
        <w:pStyle w:val="9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黑体" w:hAnsi="黑体" w:eastAsia="黑体"/>
          <w:b w:val="0"/>
          <w:bCs w:val="0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hd w:val="clear" w:color="auto" w:fill="FFFFFF"/>
          <w:lang w:val="en-US" w:eastAsia="zh-CN"/>
        </w:rPr>
        <w:t xml:space="preserve">第三章  </w:t>
      </w:r>
      <w:r>
        <w:rPr>
          <w:rFonts w:ascii="黑体" w:hAnsi="黑体" w:eastAsia="黑体"/>
          <w:b w:val="0"/>
          <w:bCs w:val="0"/>
          <w:shd w:val="clear" w:color="auto" w:fill="FFFFFF"/>
        </w:rPr>
        <w:t>检定</w:t>
      </w:r>
    </w:p>
    <w:p>
      <w:pPr>
        <w:spacing w:line="240" w:lineRule="auto"/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从事出租小汽车计费器和整车运行计费检验的检定机构，必须经广东省标准计量管理局主持考核合格。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第十一条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检定机构对检定合格的计费器，即加铅封，并发给全省统一式样的《计费器合格证》。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第十二条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检定机构对检验整车运行计费合格的出租小汽车，发给全省统一式样的《整车运行计费检验合格证》。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第十三条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计费器检定和整车运行计费检验的周期，在不超出国家检定规程规定的最长周期内，由各地标准计量管理局根据当地情况确定，报省标准计量局备案。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第十四条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检定机构实行计费器检定和整车运行计费检验，应按规定收取检定费。</w:t>
      </w:r>
    </w:p>
    <w:p>
      <w:pPr>
        <w:pStyle w:val="9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黑体" w:hAnsi="黑体" w:eastAsia="黑体"/>
          <w:b w:val="0"/>
          <w:bCs w:val="0"/>
          <w:shd w:val="clear" w:color="auto" w:fill="FFFFFF"/>
        </w:rPr>
      </w:pPr>
      <w:r>
        <w:rPr>
          <w:rFonts w:hint="eastAsia" w:ascii="黑体" w:hAnsi="黑体" w:eastAsia="黑体"/>
          <w:b w:val="0"/>
          <w:bCs w:val="0"/>
          <w:shd w:val="clear" w:color="auto" w:fill="FFFFFF"/>
          <w:lang w:val="en-US" w:eastAsia="zh-CN"/>
        </w:rPr>
        <w:t xml:space="preserve">第四章  </w:t>
      </w:r>
      <w:r>
        <w:rPr>
          <w:rFonts w:ascii="黑体" w:hAnsi="黑体" w:eastAsia="黑体"/>
          <w:b w:val="0"/>
          <w:bCs w:val="0"/>
          <w:shd w:val="clear" w:color="auto" w:fill="FFFFFF"/>
        </w:rPr>
        <w:t>罚则</w:t>
      </w:r>
    </w:p>
    <w:p>
      <w:pPr>
        <w:spacing w:line="240" w:lineRule="auto"/>
      </w:pP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第十五条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对不安装计费器和未经整车运行计费检验而投入营运的，责令其停止营业，并处1000元以下罚款。</w:t>
      </w: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对不按规定送检或经检定（检验）不合格仍继续使用的，责令其停止营业，并处500元以下罚款。</w:t>
      </w: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第十六条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对违反本办法第六条规定的，处100元以下的罚款。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第十七条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对擅自拆除铅封，破坏计费器准确度，给乘客造成损失的，没收其计费器，并处五百元以下罚款。</w:t>
      </w: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第十八条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出租小汽车经营者违反本管理办法，或对乘客投诉不予处理的，工商行政管理部门责令其限期改正。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第十九条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检定人员出具错误检定数据的，处二百元以下罚款。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第二十条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检查人员利用职权，营私舞弊，情节轻微的，处五百元以下罚款；情节严重的，由所在单位给予行政处分；构成犯罪的，依法追究其刑事责任。</w:t>
      </w:r>
    </w:p>
    <w:p>
      <w:pPr>
        <w:spacing w:line="240" w:lineRule="auto"/>
        <w:ind w:firstLine="640" w:firstLineChars="200"/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第二十一条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对违反本办法者的罚款处理，由监督部门按《广东省罚款暂行管理条例》的规定执行。</w:t>
      </w:r>
    </w:p>
    <w:p>
      <w:pPr>
        <w:pStyle w:val="9"/>
        <w:numPr>
          <w:ilvl w:val="0"/>
          <w:numId w:val="0"/>
        </w:numPr>
        <w:spacing w:line="240" w:lineRule="auto"/>
        <w:ind w:leftChars="0"/>
        <w:jc w:val="center"/>
        <w:rPr>
          <w:rFonts w:hint="eastAsia" w:ascii="黑体" w:hAnsi="黑体" w:eastAsia="黑体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hd w:val="clear" w:color="auto" w:fill="FFFFFF"/>
          <w:lang w:val="en-US" w:eastAsia="zh-CN"/>
        </w:rPr>
        <w:t>第五章 附则</w:t>
      </w:r>
    </w:p>
    <w:p>
      <w:pPr>
        <w:pStyle w:val="20"/>
        <w:spacing w:line="240" w:lineRule="auto"/>
        <w:ind w:left="1380" w:firstLine="0" w:firstLineChars="0"/>
      </w:pP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第二十二条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装有里程计费器的客运出租汽车，可参照本办法执行。</w:t>
      </w: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第二十三条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本办法由广东省标准计量管理部门负责解释。</w:t>
      </w:r>
    </w:p>
    <w:p>
      <w:pPr>
        <w:tabs>
          <w:tab w:val="left" w:pos="2310"/>
        </w:tabs>
        <w:spacing w:line="240" w:lineRule="auto"/>
        <w:ind w:firstLine="640" w:firstLineChars="200"/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hAnsi="黑体" w:eastAsia="黑体" w:cs="仿宋_GB2312"/>
          <w:bCs/>
          <w:color w:val="333333"/>
          <w:sz w:val="32"/>
          <w:szCs w:val="32"/>
          <w:shd w:val="clear" w:color="auto" w:fill="FFFFFF"/>
        </w:rPr>
        <w:t>第二十四条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>　本办法自一九八七年三月十五日起施行。</w:t>
      </w:r>
      <w:r>
        <w:rPr>
          <w:rFonts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  <w:tab/>
      </w:r>
    </w:p>
    <w:p>
      <w:pPr>
        <w:pStyle w:val="2"/>
        <w:spacing w:line="240" w:lineRule="auto"/>
        <w:rPr>
          <w:rFonts w:ascii="Times New Roman" w:hAnsi="Times New Roman"/>
          <w:color w:val="000000" w:themeColor="text1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广东省人民政府发布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广东省人民政府规章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1D"/>
    <w:multiLevelType w:val="multilevel"/>
    <w:tmpl w:val="03840D1D"/>
    <w:lvl w:ilvl="0" w:tentative="0">
      <w:start w:val="1"/>
      <w:numFmt w:val="japaneseCounting"/>
      <w:lvlText w:val="第%1章"/>
      <w:lvlJc w:val="left"/>
      <w:pPr>
        <w:ind w:left="1380" w:hanging="1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9FE"/>
    <w:rsid w:val="00172A27"/>
    <w:rsid w:val="002A4EDF"/>
    <w:rsid w:val="00394C0A"/>
    <w:rsid w:val="003C7A98"/>
    <w:rsid w:val="008D6F7E"/>
    <w:rsid w:val="00AE2590"/>
    <w:rsid w:val="00B1504F"/>
    <w:rsid w:val="00C538B8"/>
    <w:rsid w:val="00FF66B2"/>
    <w:rsid w:val="019E71BD"/>
    <w:rsid w:val="04B679C3"/>
    <w:rsid w:val="080F63D8"/>
    <w:rsid w:val="09341458"/>
    <w:rsid w:val="0B0912D7"/>
    <w:rsid w:val="0EBE3B42"/>
    <w:rsid w:val="14403411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C41EFE"/>
    <w:rsid w:val="4BC77339"/>
    <w:rsid w:val="4C9236C5"/>
    <w:rsid w:val="50384BCC"/>
    <w:rsid w:val="505C172E"/>
    <w:rsid w:val="52062EE3"/>
    <w:rsid w:val="52F46F0B"/>
    <w:rsid w:val="53D8014D"/>
    <w:rsid w:val="55E064E0"/>
    <w:rsid w:val="572C6D10"/>
    <w:rsid w:val="5AA16C48"/>
    <w:rsid w:val="5DC34279"/>
    <w:rsid w:val="608816D1"/>
    <w:rsid w:val="60EF4E7F"/>
    <w:rsid w:val="665233C1"/>
    <w:rsid w:val="69114E28"/>
    <w:rsid w:val="699B11EF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spacing w:line="478" w:lineRule="exact"/>
      <w:jc w:val="center"/>
      <w:outlineLvl w:val="0"/>
    </w:pPr>
    <w:rPr>
      <w:rFonts w:hint="eastAsia" w:ascii="宋体" w:hAnsi="宋体" w:eastAsia="方正小标宋简体" w:cs="Times New Roman"/>
      <w:kern w:val="44"/>
      <w:sz w:val="40"/>
      <w:szCs w:val="48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line="478" w:lineRule="exact"/>
      <w:outlineLvl w:val="1"/>
    </w:pPr>
    <w:rPr>
      <w:rFonts w:ascii="Arial" w:hAnsi="Arial" w:eastAsia="楷体_GB2312"/>
      <w:sz w:val="28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Subtitle"/>
    <w:basedOn w:val="1"/>
    <w:next w:val="1"/>
    <w:link w:val="2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批注框文本 Char"/>
    <w:basedOn w:val="13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1 Char"/>
    <w:basedOn w:val="13"/>
    <w:link w:val="3"/>
    <w:qFormat/>
    <w:uiPriority w:val="9"/>
    <w:rPr>
      <w:rFonts w:ascii="宋体" w:hAnsi="宋体" w:eastAsia="方正小标宋简体"/>
      <w:kern w:val="44"/>
      <w:sz w:val="40"/>
      <w:szCs w:val="48"/>
    </w:rPr>
  </w:style>
  <w:style w:type="character" w:customStyle="1" w:styleId="17">
    <w:name w:val="标题 2 Char"/>
    <w:basedOn w:val="13"/>
    <w:link w:val="4"/>
    <w:qFormat/>
    <w:uiPriority w:val="0"/>
    <w:rPr>
      <w:rFonts w:ascii="Arial" w:hAnsi="Arial" w:eastAsia="楷体_GB2312" w:cstheme="minorBidi"/>
      <w:kern w:val="2"/>
      <w:sz w:val="28"/>
    </w:rPr>
  </w:style>
  <w:style w:type="paragraph" w:customStyle="1" w:styleId="18">
    <w:name w:val="省级二级标题"/>
    <w:basedOn w:val="4"/>
    <w:qFormat/>
    <w:uiPriority w:val="0"/>
    <w:pPr>
      <w:jc w:val="center"/>
    </w:pPr>
    <w:rPr>
      <w:rFonts w:ascii="Cambria" w:hAnsi="Cambria" w:eastAsia="黑体" w:cs="Times New Roman"/>
      <w:bCs/>
      <w:szCs w:val="32"/>
    </w:rPr>
  </w:style>
  <w:style w:type="character" w:customStyle="1" w:styleId="19">
    <w:name w:val="标题 Char"/>
    <w:basedOn w:val="13"/>
    <w:link w:val="11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副标题 Char"/>
    <w:basedOn w:val="13"/>
    <w:link w:val="9"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190</Words>
  <Characters>1083</Characters>
  <Lines>9</Lines>
  <Paragraphs>2</Paragraphs>
  <TotalTime>14</TotalTime>
  <ScaleCrop>false</ScaleCrop>
  <LinksUpToDate>false</LinksUpToDate>
  <CharactersWithSpaces>1271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2021-12-10T03:49:00Z</dcterms:created>
  <dc:creator>t</dc:creator>
  <cp:lastModifiedBy>Taco</cp:lastModifiedBy>
  <cp:lastPrinted>2021-10-26T03:30:00Z</cp:lastPrinted>
  <dcterms:modified xsi:type="dcterms:W3CDTF">2022-04-06T09:13:27Z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48C61CB29D3F4D9384F5922CF0F7FFB4</vt:lpwstr>
  </property>
</Properties>
</file>