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230"/>
        </w:tabs>
        <w:adjustRightInd/>
        <w:ind w:firstLine="0" w:firstLineChars="0"/>
        <w:jc w:val="left"/>
        <w:rPr>
          <w:rFonts w:hint="eastAsia"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附件2</w:t>
      </w:r>
    </w:p>
    <w:p>
      <w:pPr>
        <w:tabs>
          <w:tab w:val="left" w:pos="13230"/>
        </w:tabs>
        <w:adjustRightInd/>
        <w:ind w:firstLine="568" w:firstLineChars="0"/>
        <w:jc w:val="center"/>
        <w:rPr>
          <w:rFonts w:hint="eastAsia" w:asciiTheme="majorEastAsia" w:hAnsiTheme="majorEastAsia" w:eastAsiaTheme="majorEastAsia" w:cstheme="majorEastAsia"/>
          <w:b/>
          <w:bCs/>
          <w:color w:val="auto"/>
          <w:kern w:val="0"/>
          <w:szCs w:val="32"/>
          <w:highlight w:val="none"/>
        </w:rPr>
      </w:pPr>
      <w:r>
        <w:rPr>
          <w:rFonts w:hint="eastAsia" w:asciiTheme="majorEastAsia" w:hAnsiTheme="majorEastAsia" w:eastAsiaTheme="majorEastAsia" w:cstheme="majorEastAsia"/>
          <w:b/>
          <w:bCs/>
          <w:color w:val="auto"/>
          <w:kern w:val="0"/>
          <w:szCs w:val="32"/>
          <w:highlight w:val="none"/>
        </w:rPr>
        <w:t>广东省</w:t>
      </w:r>
      <w:r>
        <w:rPr>
          <w:rFonts w:hint="eastAsia" w:asciiTheme="majorEastAsia" w:hAnsiTheme="majorEastAsia" w:eastAsiaTheme="majorEastAsia" w:cstheme="majorEastAsia"/>
          <w:b/>
          <w:bCs/>
          <w:color w:val="auto"/>
          <w:kern w:val="0"/>
          <w:szCs w:val="32"/>
          <w:highlight w:val="none"/>
          <w:lang w:eastAsia="zh-CN"/>
        </w:rPr>
        <w:t>水运</w:t>
      </w:r>
      <w:r>
        <w:rPr>
          <w:rFonts w:hint="eastAsia" w:asciiTheme="majorEastAsia" w:hAnsiTheme="majorEastAsia" w:eastAsiaTheme="majorEastAsia" w:cstheme="majorEastAsia"/>
          <w:b/>
          <w:bCs/>
          <w:color w:val="auto"/>
          <w:kern w:val="0"/>
          <w:szCs w:val="32"/>
          <w:highlight w:val="none"/>
        </w:rPr>
        <w:t>工程从业单位信用评价等级标准要求</w:t>
      </w:r>
    </w:p>
    <w:p>
      <w:pPr>
        <w:adjustRightInd w:val="0"/>
        <w:ind w:firstLine="420" w:firstLineChars="150"/>
        <w:jc w:val="center"/>
        <w:rPr>
          <w:rFonts w:ascii="华文中宋" w:hAnsi="华文中宋" w:eastAsia="华文中宋" w:cs="华文中宋"/>
          <w:color w:val="auto"/>
          <w:kern w:val="0"/>
          <w:sz w:val="28"/>
          <w:szCs w:val="28"/>
          <w:highlight w:val="none"/>
        </w:rPr>
      </w:pPr>
      <w:r>
        <w:rPr>
          <w:rFonts w:hint="eastAsia" w:ascii="华文中宋" w:hAnsi="华文中宋" w:eastAsia="华文中宋" w:cs="华文中宋"/>
          <w:color w:val="auto"/>
          <w:kern w:val="0"/>
          <w:sz w:val="28"/>
          <w:szCs w:val="28"/>
          <w:highlight w:val="none"/>
        </w:rPr>
        <w:t>一、</w:t>
      </w:r>
      <w:r>
        <w:rPr>
          <w:rFonts w:hint="eastAsia" w:ascii="华文中宋" w:hAnsi="华文中宋" w:eastAsia="华文中宋" w:cs="华文中宋"/>
          <w:color w:val="auto"/>
          <w:kern w:val="0"/>
          <w:sz w:val="28"/>
          <w:szCs w:val="28"/>
          <w:highlight w:val="none"/>
          <w:lang w:eastAsia="zh-CN"/>
        </w:rPr>
        <w:t>水运</w:t>
      </w:r>
      <w:r>
        <w:rPr>
          <w:rFonts w:hint="eastAsia" w:ascii="华文中宋" w:hAnsi="华文中宋" w:eastAsia="华文中宋" w:cs="华文中宋"/>
          <w:color w:val="auto"/>
          <w:kern w:val="0"/>
          <w:sz w:val="28"/>
          <w:szCs w:val="28"/>
          <w:highlight w:val="none"/>
        </w:rPr>
        <w:t>工程设计企业信用评价等级标准</w:t>
      </w:r>
      <w:r>
        <w:rPr>
          <w:rFonts w:hint="eastAsia" w:ascii="华文中宋" w:hAnsi="华文中宋" w:eastAsia="华文中宋" w:cs="华文中宋"/>
          <w:color w:val="auto"/>
          <w:kern w:val="0"/>
          <w:sz w:val="28"/>
          <w:szCs w:val="28"/>
          <w:highlight w:val="none"/>
          <w:lang w:val="en-US" w:eastAsia="zh-CN"/>
        </w:rPr>
        <w:t xml:space="preserve"> </w:t>
      </w:r>
    </w:p>
    <w:tbl>
      <w:tblPr>
        <w:tblStyle w:val="5"/>
        <w:tblW w:w="14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07"/>
        <w:gridCol w:w="5953"/>
        <w:gridCol w:w="538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adjustRightInd w:val="0"/>
              <w:spacing w:line="32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信用等级</w:t>
            </w:r>
          </w:p>
        </w:tc>
        <w:tc>
          <w:tcPr>
            <w:tcW w:w="1307" w:type="dxa"/>
            <w:vAlign w:val="center"/>
          </w:tcPr>
          <w:p>
            <w:pPr>
              <w:adjustRightInd w:val="0"/>
              <w:spacing w:line="32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评分要求</w:t>
            </w:r>
          </w:p>
          <w:p>
            <w:pPr>
              <w:adjustRightInd w:val="0"/>
              <w:spacing w:line="32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(X)</w:t>
            </w:r>
          </w:p>
        </w:tc>
        <w:tc>
          <w:tcPr>
            <w:tcW w:w="5953" w:type="dxa"/>
            <w:vAlign w:val="center"/>
          </w:tcPr>
          <w:p>
            <w:pPr>
              <w:adjustRightInd w:val="0"/>
              <w:spacing w:line="320" w:lineRule="exact"/>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rPr>
              <w:t>项目数量及合同额要求</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a</w:t>
            </w:r>
            <w:r>
              <w:rPr>
                <w:rFonts w:hint="eastAsia" w:ascii="仿宋" w:hAnsi="仿宋" w:eastAsia="仿宋" w:cs="仿宋"/>
                <w:b/>
                <w:bCs/>
                <w:color w:val="auto"/>
                <w:kern w:val="0"/>
                <w:sz w:val="21"/>
                <w:szCs w:val="21"/>
                <w:highlight w:val="none"/>
                <w:lang w:eastAsia="zh-CN"/>
              </w:rPr>
              <w:t>）</w:t>
            </w:r>
          </w:p>
        </w:tc>
        <w:tc>
          <w:tcPr>
            <w:tcW w:w="5384" w:type="dxa"/>
            <w:vAlign w:val="center"/>
          </w:tcPr>
          <w:p>
            <w:pPr>
              <w:adjustRightInd w:val="0"/>
              <w:spacing w:line="320" w:lineRule="exact"/>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rPr>
              <w:t>其他要求</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b</w:t>
            </w:r>
            <w:r>
              <w:rPr>
                <w:rFonts w:hint="eastAsia" w:ascii="仿宋" w:hAnsi="仿宋" w:eastAsia="仿宋" w:cs="仿宋"/>
                <w:b/>
                <w:bCs/>
                <w:color w:val="auto"/>
                <w:kern w:val="0"/>
                <w:sz w:val="21"/>
                <w:szCs w:val="21"/>
                <w:highlight w:val="none"/>
                <w:lang w:eastAsia="zh-CN"/>
              </w:rPr>
              <w:t>）</w:t>
            </w:r>
          </w:p>
        </w:tc>
        <w:tc>
          <w:tcPr>
            <w:tcW w:w="1240" w:type="dxa"/>
            <w:vAlign w:val="center"/>
          </w:tcPr>
          <w:p>
            <w:pPr>
              <w:adjustRightInd w:val="0"/>
              <w:spacing w:line="32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评价</w:t>
            </w:r>
          </w:p>
          <w:p>
            <w:pPr>
              <w:adjustRightInd w:val="0"/>
              <w:spacing w:line="32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691" w:type="dxa"/>
            <w:vMerge w:val="restart"/>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AA</w:t>
            </w:r>
          </w:p>
        </w:tc>
        <w:tc>
          <w:tcPr>
            <w:tcW w:w="1307" w:type="dxa"/>
            <w:vMerge w:val="restart"/>
            <w:vAlign w:val="center"/>
          </w:tcPr>
          <w:p>
            <w:pPr>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X≥95分</w:t>
            </w:r>
          </w:p>
        </w:tc>
        <w:tc>
          <w:tcPr>
            <w:tcW w:w="595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评价年度内有2个及以上广东省内从业项目合同段参与评价，且设计合同总额累计超过0.15亿元；或者有1个广东省内从业项目合同段参与评价，</w:t>
            </w:r>
            <w:r>
              <w:rPr>
                <w:rFonts w:hint="eastAsia" w:ascii="仿宋" w:hAnsi="仿宋" w:eastAsia="仿宋" w:cs="仿宋"/>
                <w:color w:val="auto"/>
                <w:kern w:val="0"/>
                <w:sz w:val="21"/>
                <w:szCs w:val="21"/>
                <w:highlight w:val="none"/>
                <w:lang w:val="en-US" w:eastAsia="zh-CN"/>
              </w:rPr>
              <w:t>且</w:t>
            </w:r>
            <w:r>
              <w:rPr>
                <w:rFonts w:hint="eastAsia" w:ascii="仿宋" w:hAnsi="仿宋" w:eastAsia="仿宋" w:cs="仿宋"/>
                <w:color w:val="auto"/>
                <w:kern w:val="0"/>
                <w:sz w:val="21"/>
                <w:szCs w:val="21"/>
                <w:highlight w:val="none"/>
              </w:rPr>
              <w:t>设计合同总额超过0.2亿元。</w:t>
            </w:r>
          </w:p>
        </w:tc>
        <w:tc>
          <w:tcPr>
            <w:tcW w:w="5384" w:type="dxa"/>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个</w:t>
            </w:r>
            <w:r>
              <w:rPr>
                <w:rFonts w:hint="eastAsia" w:ascii="仿宋" w:hAnsi="仿宋" w:eastAsia="仿宋" w:cs="仿宋"/>
                <w:color w:val="auto"/>
                <w:kern w:val="0"/>
                <w:sz w:val="21"/>
                <w:szCs w:val="21"/>
                <w:highlight w:val="none"/>
                <w:lang w:val="en-US" w:eastAsia="zh-CN"/>
              </w:rPr>
              <w:t>及</w:t>
            </w:r>
            <w:r>
              <w:rPr>
                <w:rFonts w:hint="eastAsia" w:ascii="仿宋" w:hAnsi="仿宋" w:eastAsia="仿宋" w:cs="仿宋"/>
                <w:color w:val="auto"/>
                <w:kern w:val="0"/>
                <w:sz w:val="21"/>
                <w:szCs w:val="21"/>
                <w:highlight w:val="none"/>
              </w:rPr>
              <w:t>以上设计合同段的初步设计或施工图设计在评价年度内通过交通运输主管部门或其委托单位审查（批）。</w:t>
            </w:r>
          </w:p>
        </w:tc>
        <w:tc>
          <w:tcPr>
            <w:tcW w:w="1240" w:type="dxa"/>
            <w:vMerge w:val="restart"/>
            <w:vAlign w:val="center"/>
          </w:tcPr>
          <w:p>
            <w:pPr>
              <w:adjustRightInd w:val="0"/>
              <w:spacing w:line="4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Merge w:val="continue"/>
            <w:vAlign w:val="center"/>
          </w:tcPr>
          <w:p>
            <w:pPr>
              <w:adjustRightInd w:val="0"/>
              <w:spacing w:line="360" w:lineRule="auto"/>
              <w:jc w:val="center"/>
              <w:rPr>
                <w:rFonts w:hint="eastAsia" w:ascii="仿宋" w:hAnsi="仿宋" w:eastAsia="仿宋" w:cs="仿宋"/>
                <w:color w:val="auto"/>
                <w:kern w:val="0"/>
                <w:sz w:val="21"/>
                <w:szCs w:val="21"/>
                <w:highlight w:val="none"/>
              </w:rPr>
            </w:pPr>
          </w:p>
        </w:tc>
        <w:tc>
          <w:tcPr>
            <w:tcW w:w="1307" w:type="dxa"/>
            <w:vMerge w:val="continue"/>
            <w:vAlign w:val="center"/>
          </w:tcPr>
          <w:p>
            <w:pPr>
              <w:adjustRightInd w:val="0"/>
              <w:snapToGrid w:val="0"/>
              <w:jc w:val="center"/>
              <w:rPr>
                <w:rFonts w:hint="eastAsia" w:ascii="仿宋" w:hAnsi="仿宋" w:eastAsia="仿宋" w:cs="仿宋"/>
                <w:color w:val="auto"/>
                <w:kern w:val="0"/>
                <w:sz w:val="21"/>
                <w:szCs w:val="21"/>
                <w:highlight w:val="none"/>
              </w:rPr>
            </w:pPr>
          </w:p>
        </w:tc>
        <w:tc>
          <w:tcPr>
            <w:tcW w:w="113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如评价年度符合AA级</w:t>
            </w:r>
            <w:r>
              <w:rPr>
                <w:rFonts w:hint="eastAsia" w:ascii="仿宋" w:hAnsi="仿宋" w:eastAsia="仿宋" w:cs="仿宋"/>
                <w:color w:val="auto"/>
                <w:kern w:val="0"/>
                <w:sz w:val="21"/>
                <w:szCs w:val="21"/>
                <w:highlight w:val="none"/>
                <w:lang w:val="en-US" w:eastAsia="zh-CN"/>
              </w:rPr>
              <w:t>要求（除评分X的要求）</w:t>
            </w:r>
            <w:r>
              <w:rPr>
                <w:rFonts w:hint="eastAsia" w:ascii="仿宋" w:hAnsi="仿宋" w:eastAsia="仿宋" w:cs="仿宋"/>
                <w:color w:val="auto"/>
                <w:kern w:val="0"/>
                <w:sz w:val="21"/>
                <w:szCs w:val="21"/>
                <w:highlight w:val="none"/>
              </w:rPr>
              <w:t>的</w:t>
            </w:r>
            <w:r>
              <w:rPr>
                <w:rFonts w:hint="eastAsia" w:ascii="仿宋" w:hAnsi="仿宋" w:eastAsia="仿宋" w:cs="仿宋"/>
                <w:color w:val="auto"/>
                <w:kern w:val="0"/>
                <w:sz w:val="21"/>
                <w:szCs w:val="21"/>
                <w:highlight w:val="none"/>
                <w:lang w:val="en-US" w:eastAsia="zh-CN"/>
              </w:rPr>
              <w:t>设计</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val="en-US" w:eastAsia="zh-CN"/>
              </w:rPr>
              <w:t>占参评单位（扣除自愿参评单位）的比例不足30%时</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则按照先降低通过审查合同段数量（两个降为一个），再降低合同额要求（不低于0.07亿元）的原则，并经省交通建设信用体系领导小组审定后公布当年度具体要求〔即</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a</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b</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的具体要求〕，尽量保证</w:t>
            </w:r>
            <w:r>
              <w:rPr>
                <w:rFonts w:hint="eastAsia" w:ascii="仿宋" w:hAnsi="仿宋" w:eastAsia="仿宋" w:cs="仿宋"/>
                <w:color w:val="auto"/>
                <w:kern w:val="0"/>
                <w:sz w:val="21"/>
                <w:szCs w:val="21"/>
                <w:highlight w:val="none"/>
              </w:rPr>
              <w:t>评价年度</w:t>
            </w:r>
            <w:r>
              <w:rPr>
                <w:rFonts w:hint="eastAsia" w:ascii="仿宋" w:hAnsi="仿宋" w:eastAsia="仿宋" w:cs="仿宋"/>
                <w:color w:val="auto"/>
                <w:kern w:val="0"/>
                <w:sz w:val="21"/>
                <w:szCs w:val="21"/>
                <w:highlight w:val="none"/>
                <w:lang w:val="en-US" w:eastAsia="zh-CN"/>
              </w:rPr>
              <w:t>符合</w:t>
            </w:r>
            <w:r>
              <w:rPr>
                <w:rFonts w:hint="eastAsia" w:ascii="仿宋" w:hAnsi="仿宋" w:eastAsia="仿宋" w:cs="仿宋"/>
                <w:color w:val="auto"/>
                <w:kern w:val="0"/>
                <w:sz w:val="21"/>
                <w:szCs w:val="21"/>
                <w:highlight w:val="none"/>
              </w:rPr>
              <w:t>AA级</w:t>
            </w:r>
            <w:r>
              <w:rPr>
                <w:rFonts w:hint="eastAsia" w:ascii="仿宋" w:hAnsi="仿宋" w:eastAsia="仿宋" w:cs="仿宋"/>
                <w:color w:val="auto"/>
                <w:kern w:val="0"/>
                <w:sz w:val="21"/>
                <w:szCs w:val="21"/>
                <w:highlight w:val="none"/>
                <w:lang w:val="en-US" w:eastAsia="zh-CN"/>
              </w:rPr>
              <w:t>要求（除评分X的要求）</w:t>
            </w:r>
            <w:r>
              <w:rPr>
                <w:rFonts w:hint="eastAsia" w:ascii="仿宋" w:hAnsi="仿宋" w:eastAsia="仿宋" w:cs="仿宋"/>
                <w:color w:val="auto"/>
                <w:kern w:val="0"/>
                <w:sz w:val="21"/>
                <w:szCs w:val="21"/>
                <w:highlight w:val="none"/>
              </w:rPr>
              <w:t>的</w:t>
            </w:r>
            <w:r>
              <w:rPr>
                <w:rFonts w:hint="eastAsia" w:ascii="仿宋" w:hAnsi="仿宋" w:eastAsia="仿宋" w:cs="仿宋"/>
                <w:color w:val="auto"/>
                <w:kern w:val="0"/>
                <w:sz w:val="21"/>
                <w:szCs w:val="21"/>
                <w:highlight w:val="none"/>
                <w:lang w:val="en-US" w:eastAsia="zh-CN"/>
              </w:rPr>
              <w:t>设计</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val="en-US" w:eastAsia="zh-CN"/>
              </w:rPr>
              <w:t>占参评单位（扣除自愿参评单位）的比例满足30%，</w:t>
            </w:r>
            <w:r>
              <w:rPr>
                <w:rFonts w:hint="eastAsia" w:ascii="仿宋" w:hAnsi="仿宋" w:eastAsia="仿宋" w:cs="仿宋"/>
                <w:color w:val="auto"/>
                <w:kern w:val="0"/>
                <w:sz w:val="21"/>
                <w:szCs w:val="21"/>
                <w:highlight w:val="none"/>
              </w:rPr>
              <w:t>其他不变。</w:t>
            </w:r>
          </w:p>
        </w:tc>
        <w:tc>
          <w:tcPr>
            <w:tcW w:w="1240" w:type="dxa"/>
            <w:vMerge w:val="continue"/>
            <w:vAlign w:val="center"/>
          </w:tcPr>
          <w:p>
            <w:pPr>
              <w:adjustRightInd w:val="0"/>
              <w:spacing w:line="400" w:lineRule="exact"/>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691" w:type="dxa"/>
            <w:vMerge w:val="restart"/>
            <w:vAlign w:val="center"/>
          </w:tcPr>
          <w:p>
            <w:pPr>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w:t>
            </w:r>
          </w:p>
        </w:tc>
        <w:tc>
          <w:tcPr>
            <w:tcW w:w="1307" w:type="dxa"/>
            <w:vMerge w:val="restart"/>
            <w:vAlign w:val="center"/>
          </w:tcPr>
          <w:p>
            <w:pPr>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X≥85分</w:t>
            </w:r>
          </w:p>
        </w:tc>
        <w:tc>
          <w:tcPr>
            <w:tcW w:w="595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评价年度内有1个及以上广东省内从业项目合同段参与评价，且设计合同总额累计超过0.07亿元。</w:t>
            </w:r>
          </w:p>
        </w:tc>
        <w:tc>
          <w:tcPr>
            <w:tcW w:w="538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个</w:t>
            </w:r>
            <w:r>
              <w:rPr>
                <w:rFonts w:hint="eastAsia" w:ascii="仿宋" w:hAnsi="仿宋" w:eastAsia="仿宋" w:cs="仿宋"/>
                <w:color w:val="auto"/>
                <w:kern w:val="0"/>
                <w:sz w:val="21"/>
                <w:szCs w:val="21"/>
                <w:highlight w:val="none"/>
                <w:lang w:val="en-US" w:eastAsia="zh-CN"/>
              </w:rPr>
              <w:t>及</w:t>
            </w:r>
            <w:r>
              <w:rPr>
                <w:rFonts w:hint="eastAsia" w:ascii="仿宋" w:hAnsi="仿宋" w:eastAsia="仿宋" w:cs="仿宋"/>
                <w:color w:val="auto"/>
                <w:kern w:val="0"/>
                <w:sz w:val="21"/>
                <w:szCs w:val="21"/>
                <w:highlight w:val="none"/>
              </w:rPr>
              <w:t>以上设计合同段的初步设计或施工图设计在评价年度内通过交通运输主管部门或其委托单位审查（批）。</w:t>
            </w:r>
          </w:p>
        </w:tc>
        <w:tc>
          <w:tcPr>
            <w:tcW w:w="1240" w:type="dxa"/>
            <w:vMerge w:val="restart"/>
            <w:vAlign w:val="center"/>
          </w:tcPr>
          <w:p>
            <w:pPr>
              <w:adjustRightInd w:val="0"/>
              <w:spacing w:line="4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691" w:type="dxa"/>
            <w:vMerge w:val="continue"/>
            <w:vAlign w:val="center"/>
          </w:tcPr>
          <w:p>
            <w:pPr>
              <w:adjustRightInd w:val="0"/>
              <w:snapToGrid w:val="0"/>
              <w:jc w:val="center"/>
              <w:rPr>
                <w:rFonts w:hint="eastAsia" w:ascii="仿宋" w:hAnsi="仿宋" w:eastAsia="仿宋" w:cs="仿宋"/>
                <w:color w:val="auto"/>
                <w:kern w:val="0"/>
                <w:sz w:val="21"/>
                <w:szCs w:val="21"/>
                <w:highlight w:val="none"/>
              </w:rPr>
            </w:pPr>
          </w:p>
        </w:tc>
        <w:tc>
          <w:tcPr>
            <w:tcW w:w="1307" w:type="dxa"/>
            <w:vMerge w:val="continue"/>
            <w:vAlign w:val="center"/>
          </w:tcPr>
          <w:p>
            <w:pPr>
              <w:adjustRightInd w:val="0"/>
              <w:snapToGrid w:val="0"/>
              <w:jc w:val="center"/>
              <w:rPr>
                <w:rFonts w:hint="eastAsia" w:ascii="仿宋" w:hAnsi="仿宋" w:eastAsia="仿宋" w:cs="仿宋"/>
                <w:color w:val="auto"/>
                <w:kern w:val="0"/>
                <w:sz w:val="21"/>
                <w:szCs w:val="21"/>
                <w:highlight w:val="none"/>
              </w:rPr>
            </w:pPr>
          </w:p>
        </w:tc>
        <w:tc>
          <w:tcPr>
            <w:tcW w:w="113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如评价年度符合A级</w:t>
            </w:r>
            <w:r>
              <w:rPr>
                <w:rFonts w:hint="eastAsia" w:ascii="仿宋" w:hAnsi="仿宋" w:eastAsia="仿宋" w:cs="仿宋"/>
                <w:color w:val="auto"/>
                <w:kern w:val="0"/>
                <w:sz w:val="21"/>
                <w:szCs w:val="21"/>
                <w:highlight w:val="none"/>
                <w:lang w:val="en-US" w:eastAsia="zh-CN"/>
              </w:rPr>
              <w:t>要求（除评分X的要求）</w:t>
            </w:r>
            <w:r>
              <w:rPr>
                <w:rFonts w:hint="eastAsia" w:ascii="仿宋" w:hAnsi="仿宋" w:eastAsia="仿宋" w:cs="仿宋"/>
                <w:color w:val="auto"/>
                <w:kern w:val="0"/>
                <w:sz w:val="21"/>
                <w:szCs w:val="21"/>
                <w:highlight w:val="none"/>
              </w:rPr>
              <w:t>的</w:t>
            </w:r>
            <w:r>
              <w:rPr>
                <w:rFonts w:hint="eastAsia" w:ascii="仿宋" w:hAnsi="仿宋" w:eastAsia="仿宋" w:cs="仿宋"/>
                <w:color w:val="auto"/>
                <w:kern w:val="0"/>
                <w:sz w:val="21"/>
                <w:szCs w:val="21"/>
                <w:highlight w:val="none"/>
                <w:lang w:val="en-US" w:eastAsia="zh-CN"/>
              </w:rPr>
              <w:t>设计</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val="en-US" w:eastAsia="zh-CN"/>
              </w:rPr>
              <w:t>占参评单位（扣除自愿参评单位，包括符合AA级要求）的比例不足50%时</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则按照先降低合同额要求（不低于0.05亿元）、再降低通过审查合同段数量（一个降为零个）的原则，并经省交通建设信用体系领导小组审定后公布当年度具体要求〔即</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a</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b</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的具体要求〕，尽量保证</w:t>
            </w:r>
            <w:r>
              <w:rPr>
                <w:rFonts w:hint="eastAsia" w:ascii="仿宋" w:hAnsi="仿宋" w:eastAsia="仿宋" w:cs="仿宋"/>
                <w:color w:val="auto"/>
                <w:kern w:val="0"/>
                <w:sz w:val="21"/>
                <w:szCs w:val="21"/>
                <w:highlight w:val="none"/>
              </w:rPr>
              <w:t>评价年度</w:t>
            </w:r>
            <w:r>
              <w:rPr>
                <w:rFonts w:hint="eastAsia" w:ascii="仿宋" w:hAnsi="仿宋" w:eastAsia="仿宋" w:cs="仿宋"/>
                <w:color w:val="auto"/>
                <w:kern w:val="0"/>
                <w:sz w:val="21"/>
                <w:szCs w:val="21"/>
                <w:highlight w:val="none"/>
                <w:lang w:val="en-US" w:eastAsia="zh-CN"/>
              </w:rPr>
              <w:t>符合</w:t>
            </w:r>
            <w:r>
              <w:rPr>
                <w:rFonts w:hint="eastAsia" w:ascii="仿宋" w:hAnsi="仿宋" w:eastAsia="仿宋" w:cs="仿宋"/>
                <w:color w:val="auto"/>
                <w:kern w:val="0"/>
                <w:sz w:val="21"/>
                <w:szCs w:val="21"/>
                <w:highlight w:val="none"/>
              </w:rPr>
              <w:t>A级</w:t>
            </w:r>
            <w:r>
              <w:rPr>
                <w:rFonts w:hint="eastAsia" w:ascii="仿宋" w:hAnsi="仿宋" w:eastAsia="仿宋" w:cs="仿宋"/>
                <w:color w:val="auto"/>
                <w:kern w:val="0"/>
                <w:sz w:val="21"/>
                <w:szCs w:val="21"/>
                <w:highlight w:val="none"/>
                <w:lang w:val="en-US" w:eastAsia="zh-CN"/>
              </w:rPr>
              <w:t>要求（除评分X的要求）</w:t>
            </w:r>
            <w:r>
              <w:rPr>
                <w:rFonts w:hint="eastAsia" w:ascii="仿宋" w:hAnsi="仿宋" w:eastAsia="仿宋" w:cs="仿宋"/>
                <w:color w:val="auto"/>
                <w:kern w:val="0"/>
                <w:sz w:val="21"/>
                <w:szCs w:val="21"/>
                <w:highlight w:val="none"/>
              </w:rPr>
              <w:t>的</w:t>
            </w:r>
            <w:r>
              <w:rPr>
                <w:rFonts w:hint="eastAsia" w:ascii="仿宋" w:hAnsi="仿宋" w:eastAsia="仿宋" w:cs="仿宋"/>
                <w:color w:val="auto"/>
                <w:kern w:val="0"/>
                <w:sz w:val="21"/>
                <w:szCs w:val="21"/>
                <w:highlight w:val="none"/>
                <w:lang w:val="en-US" w:eastAsia="zh-CN"/>
              </w:rPr>
              <w:t>设计</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val="en-US" w:eastAsia="zh-CN"/>
              </w:rPr>
              <w:t>占参评单位（扣除自愿参评单位，包括符合AA级要求）的比例满足50%，</w:t>
            </w:r>
            <w:r>
              <w:rPr>
                <w:rFonts w:hint="eastAsia" w:ascii="仿宋" w:hAnsi="仿宋" w:eastAsia="仿宋" w:cs="仿宋"/>
                <w:color w:val="auto"/>
                <w:kern w:val="0"/>
                <w:sz w:val="21"/>
                <w:szCs w:val="21"/>
                <w:highlight w:val="none"/>
              </w:rPr>
              <w:t>其他不变。</w:t>
            </w:r>
          </w:p>
        </w:tc>
        <w:tc>
          <w:tcPr>
            <w:tcW w:w="1240" w:type="dxa"/>
            <w:vMerge w:val="continue"/>
            <w:vAlign w:val="center"/>
          </w:tcPr>
          <w:p>
            <w:pPr>
              <w:adjustRightInd w:val="0"/>
              <w:spacing w:line="400" w:lineRule="exact"/>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91" w:type="dxa"/>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B</w:t>
            </w:r>
          </w:p>
        </w:tc>
        <w:tc>
          <w:tcPr>
            <w:tcW w:w="1307" w:type="dxa"/>
            <w:vAlign w:val="center"/>
          </w:tcPr>
          <w:p>
            <w:pPr>
              <w:adjustRightInd w:val="0"/>
              <w:snapToGrid w:val="0"/>
              <w:spacing w:line="2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75分≤X＜85分</w:t>
            </w:r>
          </w:p>
        </w:tc>
        <w:tc>
          <w:tcPr>
            <w:tcW w:w="11337" w:type="dxa"/>
            <w:gridSpan w:val="2"/>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或X≥</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5分，但其他条件要求不能满足AA、A级要求。</w:t>
            </w:r>
          </w:p>
        </w:tc>
        <w:tc>
          <w:tcPr>
            <w:tcW w:w="1240" w:type="dxa"/>
            <w:vAlign w:val="center"/>
          </w:tcPr>
          <w:p>
            <w:pPr>
              <w:adjustRightInd w:val="0"/>
              <w:spacing w:line="4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691" w:type="dxa"/>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w:t>
            </w:r>
          </w:p>
        </w:tc>
        <w:tc>
          <w:tcPr>
            <w:tcW w:w="1307" w:type="dxa"/>
            <w:vAlign w:val="center"/>
          </w:tcPr>
          <w:p>
            <w:pPr>
              <w:adjustRightInd w:val="0"/>
              <w:snapToGrid w:val="0"/>
              <w:spacing w:line="2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60分≤X＜75分</w:t>
            </w:r>
          </w:p>
        </w:tc>
        <w:tc>
          <w:tcPr>
            <w:tcW w:w="11337" w:type="dxa"/>
            <w:gridSpan w:val="2"/>
            <w:vAlign w:val="center"/>
          </w:tcPr>
          <w:p>
            <w:pPr>
              <w:adjustRightInd w:val="0"/>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w:t>
            </w:r>
            <w:r>
              <w:rPr>
                <w:rFonts w:hint="eastAsia" w:ascii="仿宋" w:hAnsi="仿宋" w:eastAsia="仿宋" w:cs="仿宋"/>
                <w:color w:val="auto"/>
                <w:kern w:val="0"/>
                <w:sz w:val="21"/>
                <w:szCs w:val="21"/>
                <w:highlight w:val="none"/>
                <w:lang w:val="en-US" w:eastAsia="zh-CN"/>
              </w:rPr>
              <w:t>C</w:t>
            </w:r>
            <w:r>
              <w:rPr>
                <w:rFonts w:hint="eastAsia" w:ascii="仿宋" w:hAnsi="仿宋" w:eastAsia="仿宋" w:cs="仿宋"/>
                <w:color w:val="auto"/>
                <w:kern w:val="0"/>
                <w:sz w:val="21"/>
                <w:szCs w:val="21"/>
                <w:highlight w:val="none"/>
              </w:rPr>
              <w:t>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1240" w:type="dxa"/>
            <w:vAlign w:val="center"/>
          </w:tcPr>
          <w:p>
            <w:pPr>
              <w:adjustRightInd w:val="0"/>
              <w:spacing w:line="4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91" w:type="dxa"/>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w:t>
            </w:r>
          </w:p>
        </w:tc>
        <w:tc>
          <w:tcPr>
            <w:tcW w:w="1307" w:type="dxa"/>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X＜60</w:t>
            </w:r>
          </w:p>
        </w:tc>
        <w:tc>
          <w:tcPr>
            <w:tcW w:w="11337" w:type="dxa"/>
            <w:gridSpan w:val="2"/>
            <w:vAlign w:val="center"/>
          </w:tcPr>
          <w:p>
            <w:pPr>
              <w:adjustRightInd w:val="0"/>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或者存在直接定为D级的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1240" w:type="dxa"/>
            <w:vAlign w:val="center"/>
          </w:tcPr>
          <w:p>
            <w:pPr>
              <w:adjustRightInd w:val="0"/>
              <w:spacing w:line="4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信用差</w:t>
            </w:r>
          </w:p>
        </w:tc>
      </w:tr>
    </w:tbl>
    <w:p>
      <w:pPr>
        <w:adjustRightInd w:val="0"/>
        <w:ind w:firstLine="0" w:firstLineChars="0"/>
        <w:jc w:val="both"/>
        <w:rPr>
          <w:rFonts w:hint="eastAsia" w:ascii="华文中宋" w:hAnsi="华文中宋" w:eastAsia="华文中宋" w:cs="华文中宋"/>
          <w:color w:val="auto"/>
          <w:kern w:val="0"/>
          <w:sz w:val="24"/>
          <w:szCs w:val="24"/>
          <w:highlight w:val="none"/>
        </w:rPr>
        <w:sectPr>
          <w:headerReference r:id="rId3" w:type="default"/>
          <w:footerReference r:id="rId4" w:type="default"/>
          <w:pgSz w:w="16838" w:h="11906" w:orient="landscape"/>
          <w:pgMar w:top="1043" w:right="1800" w:bottom="1157" w:left="1800" w:header="851" w:footer="992" w:gutter="0"/>
          <w:pgNumType w:fmt="decimal"/>
          <w:cols w:space="0" w:num="1"/>
          <w:rtlGutter w:val="0"/>
          <w:docGrid w:type="lines" w:linePitch="312" w:charSpace="0"/>
        </w:sectPr>
      </w:pPr>
    </w:p>
    <w:p>
      <w:pPr>
        <w:adjustRightInd w:val="0"/>
        <w:ind w:firstLine="420" w:firstLineChars="150"/>
        <w:jc w:val="center"/>
        <w:rPr>
          <w:rFonts w:hint="eastAsia" w:ascii="华文中宋" w:hAnsi="华文中宋" w:eastAsia="华文中宋" w:cs="华文中宋"/>
          <w:color w:val="auto"/>
          <w:kern w:val="0"/>
          <w:sz w:val="28"/>
          <w:szCs w:val="28"/>
          <w:highlight w:val="none"/>
        </w:rPr>
      </w:pPr>
      <w:r>
        <w:rPr>
          <w:rFonts w:hint="eastAsia" w:ascii="华文中宋" w:hAnsi="华文中宋" w:eastAsia="华文中宋" w:cs="华文中宋"/>
          <w:color w:val="auto"/>
          <w:kern w:val="0"/>
          <w:sz w:val="28"/>
          <w:szCs w:val="28"/>
          <w:highlight w:val="none"/>
        </w:rPr>
        <w:t>二、</w:t>
      </w:r>
      <w:r>
        <w:rPr>
          <w:rFonts w:hint="eastAsia" w:ascii="华文中宋" w:hAnsi="华文中宋" w:eastAsia="华文中宋" w:cs="华文中宋"/>
          <w:color w:val="auto"/>
          <w:kern w:val="0"/>
          <w:sz w:val="28"/>
          <w:szCs w:val="28"/>
          <w:highlight w:val="none"/>
          <w:lang w:eastAsia="zh-CN"/>
        </w:rPr>
        <w:t>水运</w:t>
      </w:r>
      <w:r>
        <w:rPr>
          <w:rFonts w:hint="eastAsia" w:ascii="华文中宋" w:hAnsi="华文中宋" w:eastAsia="华文中宋" w:cs="华文中宋"/>
          <w:color w:val="auto"/>
          <w:kern w:val="0"/>
          <w:sz w:val="28"/>
          <w:szCs w:val="28"/>
          <w:highlight w:val="none"/>
        </w:rPr>
        <w:t>工程施工企业信用评价等级标准</w:t>
      </w:r>
    </w:p>
    <w:tbl>
      <w:tblPr>
        <w:tblStyle w:val="5"/>
        <w:tblW w:w="14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13"/>
        <w:gridCol w:w="9308"/>
        <w:gridCol w:w="250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信用</w:t>
            </w:r>
          </w:p>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等级</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评分要求(X)</w:t>
            </w:r>
          </w:p>
        </w:tc>
        <w:tc>
          <w:tcPr>
            <w:tcW w:w="9308" w:type="dxa"/>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项目数量及合同额要求</w:t>
            </w:r>
          </w:p>
        </w:tc>
        <w:tc>
          <w:tcPr>
            <w:tcW w:w="2504" w:type="dxa"/>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其他要求</w:t>
            </w:r>
          </w:p>
        </w:tc>
        <w:tc>
          <w:tcPr>
            <w:tcW w:w="825" w:type="dxa"/>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jc w:val="center"/>
        </w:trPr>
        <w:tc>
          <w:tcPr>
            <w:tcW w:w="825" w:type="dxa"/>
            <w:vAlign w:val="center"/>
          </w:tcPr>
          <w:p>
            <w:pPr>
              <w:adjustRightInd w:val="0"/>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AA</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X≥95分</w:t>
            </w:r>
          </w:p>
        </w:tc>
        <w:tc>
          <w:tcPr>
            <w:tcW w:w="930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①评价年度内有3个及以上广东省内从业项目合同段参与评价，且水运施工合同总额超过1.5亿元；</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或，有1个及以上广东省内从业项目合同段参与评价，且水运施工合同总额超过2.0亿元。</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②</w:t>
            </w:r>
            <w:r>
              <w:rPr>
                <w:rFonts w:hint="eastAsia" w:ascii="仿宋_GB2312" w:hAnsi="宋体" w:cs="宋体"/>
                <w:color w:val="auto"/>
                <w:kern w:val="0"/>
                <w:sz w:val="21"/>
                <w:szCs w:val="21"/>
                <w:highlight w:val="none"/>
              </w:rPr>
              <w:t>如评价年度符合AA级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施工</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占参评单位（扣除自愿参评单位）的比例不足30%时</w:t>
            </w:r>
            <w:r>
              <w:rPr>
                <w:rFonts w:hint="eastAsia" w:ascii="仿宋_GB2312" w:hAnsi="宋体" w:cs="宋体"/>
                <w:color w:val="auto"/>
                <w:kern w:val="0"/>
                <w:sz w:val="21"/>
                <w:szCs w:val="21"/>
                <w:highlight w:val="none"/>
              </w:rPr>
              <w:t>，</w:t>
            </w:r>
            <w:r>
              <w:rPr>
                <w:rFonts w:hint="eastAsia" w:ascii="仿宋_GB2312" w:hAnsi="宋体" w:cs="宋体"/>
                <w:color w:val="auto"/>
                <w:kern w:val="0"/>
                <w:sz w:val="21"/>
                <w:szCs w:val="21"/>
                <w:highlight w:val="none"/>
                <w:lang w:val="en-US" w:eastAsia="zh-CN"/>
              </w:rPr>
              <w:t>则按照先降低合同段数量（三个降为两个），再降低合同额要求（按照AA及对应合同总额要求的10%一档，不低于A级合同额要求）的原则，并经省交通运输厅交通建设信用体系领导小组审定后公布当年度具体要求，尽量保证</w:t>
            </w:r>
            <w:r>
              <w:rPr>
                <w:rFonts w:hint="eastAsia" w:ascii="仿宋_GB2312" w:hAnsi="宋体" w:cs="宋体"/>
                <w:color w:val="auto"/>
                <w:kern w:val="0"/>
                <w:sz w:val="21"/>
                <w:szCs w:val="21"/>
                <w:highlight w:val="none"/>
              </w:rPr>
              <w:t>评价年度</w:t>
            </w:r>
            <w:r>
              <w:rPr>
                <w:rFonts w:hint="eastAsia" w:ascii="仿宋_GB2312" w:hAnsi="宋体" w:cs="宋体"/>
                <w:color w:val="auto"/>
                <w:kern w:val="0"/>
                <w:sz w:val="21"/>
                <w:szCs w:val="21"/>
                <w:highlight w:val="none"/>
                <w:lang w:val="en-US" w:eastAsia="zh-CN"/>
              </w:rPr>
              <w:t>符合</w:t>
            </w:r>
            <w:r>
              <w:rPr>
                <w:rFonts w:hint="eastAsia" w:ascii="仿宋_GB2312" w:hAnsi="宋体" w:cs="宋体"/>
                <w:color w:val="auto"/>
                <w:kern w:val="0"/>
                <w:sz w:val="21"/>
                <w:szCs w:val="21"/>
                <w:highlight w:val="none"/>
              </w:rPr>
              <w:t>AA级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施工</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占参评单位（扣除自愿参评单位）的比例满足前述要求，</w:t>
            </w:r>
            <w:r>
              <w:rPr>
                <w:rFonts w:hint="eastAsia" w:ascii="仿宋_GB2312" w:hAnsi="宋体" w:cs="宋体"/>
                <w:color w:val="auto"/>
                <w:kern w:val="0"/>
                <w:sz w:val="21"/>
                <w:szCs w:val="21"/>
                <w:highlight w:val="none"/>
              </w:rPr>
              <w:t>其他不变。</w:t>
            </w:r>
          </w:p>
        </w:tc>
        <w:tc>
          <w:tcPr>
            <w:tcW w:w="2504" w:type="dxa"/>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上述①、②项中的参与评价的施工项目需同时满足开工3个月以上（以合同段开工令签发日期为准）。</w:t>
            </w:r>
          </w:p>
        </w:tc>
        <w:tc>
          <w:tcPr>
            <w:tcW w:w="825" w:type="dxa"/>
            <w:vAlign w:val="center"/>
          </w:tcPr>
          <w:p>
            <w:pPr>
              <w:adjustRightIn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825" w:type="dxa"/>
            <w:vAlign w:val="center"/>
          </w:tcPr>
          <w:p>
            <w:pPr>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X≥85分</w:t>
            </w:r>
          </w:p>
        </w:tc>
        <w:tc>
          <w:tcPr>
            <w:tcW w:w="9308"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①评价年度内有2个及以上广东省内从业项目合同段参与评价，且水运施工合同总额超过1.2亿元；或者有1个广东省内从业项目合同段参与评价，且水运施工合同总额超过1.5亿元。</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②</w:t>
            </w:r>
            <w:r>
              <w:rPr>
                <w:rFonts w:hint="eastAsia" w:ascii="仿宋_GB2312" w:hAnsi="宋体" w:cs="宋体"/>
                <w:color w:val="auto"/>
                <w:kern w:val="0"/>
                <w:sz w:val="21"/>
                <w:szCs w:val="21"/>
                <w:highlight w:val="none"/>
              </w:rPr>
              <w:t>如评价年度符合A级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施工</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占参评单位（扣除自愿参评单位，包括符合AA级要求）的比例不足50%时</w:t>
            </w:r>
            <w:r>
              <w:rPr>
                <w:rFonts w:hint="eastAsia" w:ascii="仿宋_GB2312" w:hAnsi="宋体" w:cs="宋体"/>
                <w:color w:val="auto"/>
                <w:kern w:val="0"/>
                <w:sz w:val="21"/>
                <w:szCs w:val="21"/>
                <w:highlight w:val="none"/>
              </w:rPr>
              <w:t>，</w:t>
            </w:r>
            <w:r>
              <w:rPr>
                <w:rFonts w:hint="eastAsia" w:ascii="仿宋_GB2312" w:hAnsi="宋体" w:cs="宋体"/>
                <w:color w:val="auto"/>
                <w:kern w:val="0"/>
                <w:sz w:val="21"/>
                <w:szCs w:val="21"/>
                <w:highlight w:val="none"/>
                <w:lang w:val="en-US" w:eastAsia="zh-CN"/>
              </w:rPr>
              <w:t>则按照先降低合同段数量（两个降为1个），再降低合同额要求额要求（按照AA及对应合同总额要求的10%一档，不低于A级合同额要求）的原则，并经省交通运输厅交通建设信用体系领导小组审定后公布当年度具体要求，尽量保证</w:t>
            </w:r>
            <w:r>
              <w:rPr>
                <w:rFonts w:hint="eastAsia" w:ascii="仿宋_GB2312" w:hAnsi="宋体" w:cs="宋体"/>
                <w:color w:val="auto"/>
                <w:kern w:val="0"/>
                <w:sz w:val="21"/>
                <w:szCs w:val="21"/>
                <w:highlight w:val="none"/>
              </w:rPr>
              <w:t>评价年度</w:t>
            </w:r>
            <w:r>
              <w:rPr>
                <w:rFonts w:hint="eastAsia" w:ascii="仿宋_GB2312" w:hAnsi="宋体" w:cs="宋体"/>
                <w:color w:val="auto"/>
                <w:kern w:val="0"/>
                <w:sz w:val="21"/>
                <w:szCs w:val="21"/>
                <w:highlight w:val="none"/>
                <w:lang w:val="en-US" w:eastAsia="zh-CN"/>
              </w:rPr>
              <w:t>符合</w:t>
            </w:r>
            <w:r>
              <w:rPr>
                <w:rFonts w:hint="eastAsia" w:ascii="仿宋_GB2312" w:hAnsi="宋体" w:cs="宋体"/>
                <w:color w:val="auto"/>
                <w:kern w:val="0"/>
                <w:sz w:val="21"/>
                <w:szCs w:val="21"/>
                <w:highlight w:val="none"/>
              </w:rPr>
              <w:t>AA级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施工</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占参评单位（扣除自愿参评单位）的比例满足前述要求，</w:t>
            </w:r>
            <w:r>
              <w:rPr>
                <w:rFonts w:hint="eastAsia" w:ascii="仿宋_GB2312" w:hAnsi="宋体" w:cs="宋体"/>
                <w:color w:val="auto"/>
                <w:kern w:val="0"/>
                <w:sz w:val="21"/>
                <w:szCs w:val="21"/>
                <w:highlight w:val="none"/>
              </w:rPr>
              <w:t>其他不变。</w:t>
            </w:r>
          </w:p>
        </w:tc>
        <w:tc>
          <w:tcPr>
            <w:tcW w:w="2504"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上述①、②项中的参与评价的施工项目需同时满足开工3个月以上（以合同段开工令签发日期为准）。</w:t>
            </w:r>
          </w:p>
        </w:tc>
        <w:tc>
          <w:tcPr>
            <w:tcW w:w="825" w:type="dxa"/>
            <w:vAlign w:val="center"/>
          </w:tcPr>
          <w:p>
            <w:pPr>
              <w:adjustRightIn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25" w:type="dxa"/>
            <w:vAlign w:val="center"/>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B</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75分≤X＜85分</w:t>
            </w:r>
          </w:p>
        </w:tc>
        <w:tc>
          <w:tcPr>
            <w:tcW w:w="11812"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或X≥</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5分，但其他条件要求不能满足AA、A级要求。</w:t>
            </w:r>
          </w:p>
        </w:tc>
        <w:tc>
          <w:tcPr>
            <w:tcW w:w="825" w:type="dxa"/>
            <w:vAlign w:val="center"/>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25" w:type="dxa"/>
            <w:vAlign w:val="top"/>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60分≤X＜75分</w:t>
            </w:r>
          </w:p>
        </w:tc>
        <w:tc>
          <w:tcPr>
            <w:tcW w:w="11812"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w:t>
            </w:r>
            <w:r>
              <w:rPr>
                <w:rFonts w:hint="eastAsia" w:ascii="仿宋" w:hAnsi="仿宋" w:eastAsia="仿宋" w:cs="仿宋"/>
                <w:color w:val="auto"/>
                <w:kern w:val="0"/>
                <w:sz w:val="21"/>
                <w:szCs w:val="21"/>
                <w:highlight w:val="none"/>
                <w:lang w:val="en-US" w:eastAsia="zh-CN"/>
              </w:rPr>
              <w:t>C</w:t>
            </w:r>
            <w:r>
              <w:rPr>
                <w:rFonts w:hint="eastAsia" w:ascii="仿宋" w:hAnsi="仿宋" w:eastAsia="仿宋" w:cs="仿宋"/>
                <w:color w:val="auto"/>
                <w:kern w:val="0"/>
                <w:sz w:val="21"/>
                <w:szCs w:val="21"/>
                <w:highlight w:val="none"/>
              </w:rPr>
              <w:t>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825" w:type="dxa"/>
            <w:vAlign w:val="top"/>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25" w:type="dxa"/>
            <w:vAlign w:val="center"/>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w:t>
            </w:r>
          </w:p>
        </w:tc>
        <w:tc>
          <w:tcPr>
            <w:tcW w:w="1113" w:type="dxa"/>
            <w:vAlign w:val="center"/>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X＜60</w:t>
            </w:r>
          </w:p>
        </w:tc>
        <w:tc>
          <w:tcPr>
            <w:tcW w:w="11812" w:type="dxa"/>
            <w:gridSpan w:val="2"/>
            <w:vAlign w:val="center"/>
          </w:tcPr>
          <w:p>
            <w:pPr>
              <w:adjustRightInd w:val="0"/>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或者存在直接定为D级的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825" w:type="dxa"/>
            <w:vAlign w:val="center"/>
          </w:tcPr>
          <w:p>
            <w:pPr>
              <w:adjustRightInd w:val="0"/>
              <w:snapToGri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信用差</w:t>
            </w:r>
          </w:p>
        </w:tc>
      </w:tr>
    </w:tbl>
    <w:p>
      <w:pPr>
        <w:adjustRightInd w:val="0"/>
        <w:ind w:firstLine="0" w:firstLineChars="0"/>
        <w:jc w:val="both"/>
        <w:rPr>
          <w:rFonts w:hint="eastAsia" w:ascii="华文中宋" w:hAnsi="华文中宋" w:eastAsia="华文中宋" w:cs="华文中宋"/>
          <w:color w:val="auto"/>
          <w:kern w:val="0"/>
          <w:sz w:val="24"/>
          <w:szCs w:val="24"/>
          <w:highlight w:val="none"/>
        </w:rPr>
      </w:pPr>
      <w:bookmarkStart w:id="0" w:name="_GoBack"/>
      <w:bookmarkEnd w:id="0"/>
    </w:p>
    <w:p>
      <w:pPr>
        <w:adjustRightInd w:val="0"/>
        <w:ind w:firstLine="360" w:firstLineChars="150"/>
        <w:jc w:val="center"/>
        <w:rPr>
          <w:rFonts w:hint="eastAsia" w:ascii="华文中宋" w:hAnsi="华文中宋" w:eastAsia="华文中宋" w:cs="华文中宋"/>
          <w:color w:val="auto"/>
          <w:kern w:val="0"/>
          <w:sz w:val="24"/>
          <w:szCs w:val="24"/>
          <w:highlight w:val="none"/>
        </w:rPr>
        <w:sectPr>
          <w:pgSz w:w="16838" w:h="11906" w:orient="landscape"/>
          <w:pgMar w:top="607" w:right="720" w:bottom="607" w:left="720" w:header="851" w:footer="992" w:gutter="0"/>
          <w:pgNumType w:fmt="decimal"/>
          <w:cols w:space="720" w:num="1"/>
          <w:rtlGutter w:val="0"/>
          <w:docGrid w:type="lines" w:linePitch="312" w:charSpace="0"/>
        </w:sectPr>
      </w:pPr>
    </w:p>
    <w:p>
      <w:pPr>
        <w:adjustRightInd w:val="0"/>
        <w:ind w:firstLine="420" w:firstLineChars="150"/>
        <w:jc w:val="center"/>
        <w:rPr>
          <w:rFonts w:hint="eastAsia" w:ascii="华文中宋" w:hAnsi="华文中宋" w:eastAsia="华文中宋" w:cs="华文中宋"/>
          <w:color w:val="auto"/>
          <w:kern w:val="0"/>
          <w:sz w:val="28"/>
          <w:szCs w:val="28"/>
          <w:highlight w:val="none"/>
        </w:rPr>
      </w:pPr>
      <w:r>
        <w:rPr>
          <w:rFonts w:hint="eastAsia" w:ascii="华文中宋" w:hAnsi="华文中宋" w:eastAsia="华文中宋" w:cs="华文中宋"/>
          <w:color w:val="auto"/>
          <w:kern w:val="0"/>
          <w:sz w:val="28"/>
          <w:szCs w:val="28"/>
          <w:highlight w:val="none"/>
        </w:rPr>
        <w:t>三、</w:t>
      </w:r>
      <w:r>
        <w:rPr>
          <w:rFonts w:hint="eastAsia" w:ascii="华文中宋" w:hAnsi="华文中宋" w:eastAsia="华文中宋" w:cs="华文中宋"/>
          <w:color w:val="auto"/>
          <w:kern w:val="0"/>
          <w:sz w:val="28"/>
          <w:szCs w:val="28"/>
          <w:highlight w:val="none"/>
          <w:lang w:eastAsia="zh-CN"/>
        </w:rPr>
        <w:t>水运</w:t>
      </w:r>
      <w:r>
        <w:rPr>
          <w:rFonts w:hint="eastAsia" w:ascii="华文中宋" w:hAnsi="华文中宋" w:eastAsia="华文中宋" w:cs="华文中宋"/>
          <w:color w:val="auto"/>
          <w:kern w:val="0"/>
          <w:sz w:val="28"/>
          <w:szCs w:val="28"/>
          <w:highlight w:val="none"/>
        </w:rPr>
        <w:t>工程监理企业信用评价等级标准</w:t>
      </w:r>
    </w:p>
    <w:tbl>
      <w:tblPr>
        <w:tblStyle w:val="5"/>
        <w:tblW w:w="14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13"/>
        <w:gridCol w:w="6690"/>
        <w:gridCol w:w="512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w:t>
            </w:r>
          </w:p>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等级</w:t>
            </w:r>
          </w:p>
        </w:tc>
        <w:tc>
          <w:tcPr>
            <w:tcW w:w="1113" w:type="dxa"/>
            <w:vAlign w:val="center"/>
          </w:tcPr>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评分要求(X)</w:t>
            </w:r>
          </w:p>
        </w:tc>
        <w:tc>
          <w:tcPr>
            <w:tcW w:w="6690" w:type="dxa"/>
            <w:vAlign w:val="center"/>
          </w:tcPr>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项目数量及合同额要求</w:t>
            </w:r>
          </w:p>
        </w:tc>
        <w:tc>
          <w:tcPr>
            <w:tcW w:w="5122" w:type="dxa"/>
            <w:vAlign w:val="center"/>
          </w:tcPr>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其他要求</w:t>
            </w:r>
          </w:p>
        </w:tc>
        <w:tc>
          <w:tcPr>
            <w:tcW w:w="825" w:type="dxa"/>
            <w:vAlign w:val="center"/>
          </w:tcPr>
          <w:p>
            <w:pPr>
              <w:adjustRightInd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825" w:type="dxa"/>
            <w:vMerge w:val="restart"/>
            <w:vAlign w:val="center"/>
          </w:tcPr>
          <w:p>
            <w:pPr>
              <w:adjustRightIn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AA</w:t>
            </w:r>
          </w:p>
        </w:tc>
        <w:tc>
          <w:tcPr>
            <w:tcW w:w="1113" w:type="dxa"/>
            <w:vMerge w:val="restart"/>
            <w:vAlign w:val="center"/>
          </w:tcPr>
          <w:p>
            <w:pPr>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X≥95分</w:t>
            </w:r>
          </w:p>
        </w:tc>
        <w:tc>
          <w:tcPr>
            <w:tcW w:w="6690" w:type="dxa"/>
            <w:vAlign w:val="center"/>
          </w:tcPr>
          <w:p>
            <w:pPr>
              <w:adjustRightInd w:val="0"/>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评价年度内有3个及以上广东省内从业项目合同段参与评价，且水运监理合同总额超过0.1亿元。</w:t>
            </w:r>
          </w:p>
        </w:tc>
        <w:tc>
          <w:tcPr>
            <w:tcW w:w="5122" w:type="dxa"/>
            <w:vAlign w:val="center"/>
          </w:tcPr>
          <w:p>
            <w:pPr>
              <w:adjustRightInd w:val="0"/>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上述参与评价的项目要求开工3个月以上（以所监理的施工合同段开工令签发日期为准）。</w:t>
            </w:r>
          </w:p>
        </w:tc>
        <w:tc>
          <w:tcPr>
            <w:tcW w:w="825" w:type="dxa"/>
            <w:vMerge w:val="restart"/>
            <w:vAlign w:val="center"/>
          </w:tcPr>
          <w:p>
            <w:pPr>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jc w:val="center"/>
        </w:trPr>
        <w:tc>
          <w:tcPr>
            <w:tcW w:w="825" w:type="dxa"/>
            <w:vMerge w:val="continue"/>
            <w:vAlign w:val="center"/>
          </w:tcPr>
          <w:p>
            <w:pPr>
              <w:adjustRightInd w:val="0"/>
              <w:spacing w:line="360" w:lineRule="auto"/>
              <w:jc w:val="center"/>
              <w:rPr>
                <w:rFonts w:hint="eastAsia" w:ascii="仿宋" w:hAnsi="仿宋" w:eastAsia="仿宋" w:cs="仿宋"/>
                <w:color w:val="auto"/>
                <w:kern w:val="0"/>
                <w:sz w:val="24"/>
                <w:szCs w:val="24"/>
                <w:highlight w:val="none"/>
              </w:rPr>
            </w:pPr>
          </w:p>
        </w:tc>
        <w:tc>
          <w:tcPr>
            <w:tcW w:w="1113" w:type="dxa"/>
            <w:vMerge w:val="continue"/>
            <w:vAlign w:val="center"/>
          </w:tcPr>
          <w:p>
            <w:pPr>
              <w:adjustRightInd w:val="0"/>
              <w:snapToGrid w:val="0"/>
              <w:jc w:val="center"/>
              <w:rPr>
                <w:rFonts w:hint="eastAsia" w:ascii="仿宋" w:hAnsi="仿宋" w:eastAsia="仿宋" w:cs="仿宋"/>
                <w:color w:val="auto"/>
                <w:kern w:val="0"/>
                <w:sz w:val="24"/>
                <w:szCs w:val="24"/>
                <w:highlight w:val="none"/>
              </w:rPr>
            </w:pPr>
          </w:p>
        </w:tc>
        <w:tc>
          <w:tcPr>
            <w:tcW w:w="11812" w:type="dxa"/>
            <w:gridSpan w:val="2"/>
            <w:vAlign w:val="center"/>
          </w:tcPr>
          <w:p>
            <w:pPr>
              <w:adjustRightInd w:val="0"/>
              <w:snapToGrid w:val="0"/>
              <w:rPr>
                <w:rFonts w:hint="eastAsia" w:ascii="仿宋" w:hAnsi="仿宋" w:eastAsia="仿宋" w:cs="仿宋"/>
                <w:color w:val="auto"/>
                <w:kern w:val="0"/>
                <w:sz w:val="24"/>
                <w:szCs w:val="24"/>
                <w:highlight w:val="none"/>
              </w:rPr>
            </w:pPr>
            <w:r>
              <w:rPr>
                <w:rFonts w:hint="eastAsia" w:ascii="仿宋_GB2312" w:hAnsi="宋体" w:cs="宋体"/>
                <w:color w:val="auto"/>
                <w:kern w:val="0"/>
                <w:sz w:val="21"/>
                <w:szCs w:val="21"/>
                <w:highlight w:val="none"/>
              </w:rPr>
              <w:t>如评价年度符合A</w:t>
            </w:r>
            <w:r>
              <w:rPr>
                <w:rFonts w:hint="eastAsia" w:ascii="仿宋_GB2312" w:hAnsi="宋体" w:cs="宋体"/>
                <w:color w:val="auto"/>
                <w:kern w:val="0"/>
                <w:sz w:val="21"/>
                <w:szCs w:val="21"/>
                <w:highlight w:val="none"/>
                <w:lang w:val="en-US" w:eastAsia="zh-CN"/>
              </w:rPr>
              <w:t>A</w:t>
            </w:r>
            <w:r>
              <w:rPr>
                <w:rFonts w:hint="eastAsia" w:ascii="仿宋_GB2312" w:hAnsi="宋体" w:cs="宋体"/>
                <w:color w:val="auto"/>
                <w:kern w:val="0"/>
                <w:sz w:val="21"/>
                <w:szCs w:val="21"/>
                <w:highlight w:val="none"/>
              </w:rPr>
              <w:t>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监理</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占参评单位（扣除自愿参评单位，包括符合AA级要求）的比例不足20%时</w:t>
            </w:r>
            <w:r>
              <w:rPr>
                <w:rFonts w:hint="eastAsia" w:ascii="仿宋_GB2312" w:hAnsi="宋体" w:cs="宋体"/>
                <w:color w:val="auto"/>
                <w:kern w:val="0"/>
                <w:sz w:val="21"/>
                <w:szCs w:val="21"/>
                <w:highlight w:val="none"/>
              </w:rPr>
              <w:t>，</w:t>
            </w:r>
            <w:r>
              <w:rPr>
                <w:rFonts w:hint="eastAsia" w:ascii="仿宋_GB2312" w:hAnsi="宋体" w:cs="宋体"/>
                <w:color w:val="auto"/>
                <w:kern w:val="0"/>
                <w:sz w:val="21"/>
                <w:szCs w:val="21"/>
                <w:highlight w:val="none"/>
                <w:lang w:val="en-US" w:eastAsia="zh-CN"/>
              </w:rPr>
              <w:t>则按照先降低参评合同段数量（3个降为2个），再降低合同额要求（按AA级合同额要求10%一档，不低于0.08亿元）的原则，并经省交通建设信用体系领导小组审定后公布当年度具体要求，尽量保证</w:t>
            </w:r>
            <w:r>
              <w:rPr>
                <w:rFonts w:hint="eastAsia" w:ascii="仿宋_GB2312" w:hAnsi="宋体" w:cs="宋体"/>
                <w:color w:val="auto"/>
                <w:kern w:val="0"/>
                <w:sz w:val="21"/>
                <w:szCs w:val="21"/>
                <w:highlight w:val="none"/>
              </w:rPr>
              <w:t>评价年度</w:t>
            </w:r>
            <w:r>
              <w:rPr>
                <w:rFonts w:hint="eastAsia" w:ascii="仿宋_GB2312" w:hAnsi="宋体" w:cs="宋体"/>
                <w:color w:val="auto"/>
                <w:kern w:val="0"/>
                <w:sz w:val="21"/>
                <w:szCs w:val="21"/>
                <w:highlight w:val="none"/>
                <w:lang w:val="en-US" w:eastAsia="zh-CN"/>
              </w:rPr>
              <w:t>符合</w:t>
            </w:r>
            <w:r>
              <w:rPr>
                <w:rFonts w:hint="eastAsia" w:ascii="仿宋_GB2312" w:hAnsi="宋体" w:cs="宋体"/>
                <w:color w:val="auto"/>
                <w:kern w:val="0"/>
                <w:sz w:val="21"/>
                <w:szCs w:val="21"/>
                <w:highlight w:val="none"/>
              </w:rPr>
              <w:t>A</w:t>
            </w:r>
            <w:r>
              <w:rPr>
                <w:rFonts w:hint="eastAsia" w:ascii="仿宋_GB2312" w:hAnsi="宋体" w:cs="宋体"/>
                <w:color w:val="auto"/>
                <w:kern w:val="0"/>
                <w:sz w:val="21"/>
                <w:szCs w:val="21"/>
                <w:highlight w:val="none"/>
                <w:lang w:val="en-US" w:eastAsia="zh-CN"/>
              </w:rPr>
              <w:t>A</w:t>
            </w:r>
            <w:r>
              <w:rPr>
                <w:rFonts w:hint="eastAsia" w:ascii="仿宋_GB2312" w:hAnsi="宋体" w:cs="宋体"/>
                <w:color w:val="auto"/>
                <w:kern w:val="0"/>
                <w:sz w:val="21"/>
                <w:szCs w:val="21"/>
                <w:highlight w:val="none"/>
              </w:rPr>
              <w:t>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监理</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占参评单位（扣除自愿参评单位，包括符合AA级要求）的比例满足20%，</w:t>
            </w:r>
            <w:r>
              <w:rPr>
                <w:rFonts w:hint="eastAsia" w:ascii="仿宋_GB2312" w:hAnsi="宋体" w:cs="宋体"/>
                <w:color w:val="auto"/>
                <w:kern w:val="0"/>
                <w:sz w:val="21"/>
                <w:szCs w:val="21"/>
                <w:highlight w:val="none"/>
              </w:rPr>
              <w:t>其他不变。</w:t>
            </w:r>
          </w:p>
        </w:tc>
        <w:tc>
          <w:tcPr>
            <w:tcW w:w="825" w:type="dxa"/>
            <w:vMerge w:val="continue"/>
            <w:vAlign w:val="center"/>
          </w:tcPr>
          <w:p>
            <w:pPr>
              <w:adjustRightInd w:val="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825" w:type="dxa"/>
            <w:vMerge w:val="restart"/>
            <w:vAlign w:val="center"/>
          </w:tcPr>
          <w:p>
            <w:pPr>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w:t>
            </w:r>
          </w:p>
        </w:tc>
        <w:tc>
          <w:tcPr>
            <w:tcW w:w="1113" w:type="dxa"/>
            <w:vMerge w:val="restart"/>
            <w:vAlign w:val="center"/>
          </w:tcPr>
          <w:p>
            <w:pPr>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X≥85分</w:t>
            </w:r>
          </w:p>
        </w:tc>
        <w:tc>
          <w:tcPr>
            <w:tcW w:w="6690" w:type="dxa"/>
            <w:vAlign w:val="center"/>
          </w:tcPr>
          <w:p>
            <w:pPr>
              <w:adjustRightInd w:val="0"/>
              <w:snapToGrid w:val="0"/>
              <w:spacing w:line="3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评价年度内有2个及以上广东省内从业项目合同段参与评价，且水运监理合同总额超过0.08亿元。</w:t>
            </w:r>
          </w:p>
        </w:tc>
        <w:tc>
          <w:tcPr>
            <w:tcW w:w="5122" w:type="dxa"/>
            <w:vAlign w:val="center"/>
          </w:tcPr>
          <w:p>
            <w:pPr>
              <w:adjustRightInd w:val="0"/>
              <w:spacing w:line="3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上述参与评价的项目要求开工3个月以上（以所监理的施工合同段开工令签发日期为准）。</w:t>
            </w:r>
          </w:p>
        </w:tc>
        <w:tc>
          <w:tcPr>
            <w:tcW w:w="825" w:type="dxa"/>
            <w:vMerge w:val="restart"/>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825" w:type="dxa"/>
            <w:vMerge w:val="continue"/>
            <w:vAlign w:val="center"/>
          </w:tcPr>
          <w:p>
            <w:pPr>
              <w:adjustRightInd w:val="0"/>
              <w:snapToGrid w:val="0"/>
              <w:jc w:val="center"/>
              <w:rPr>
                <w:rFonts w:hint="eastAsia" w:ascii="仿宋" w:hAnsi="仿宋" w:eastAsia="仿宋" w:cs="仿宋"/>
                <w:color w:val="auto"/>
                <w:kern w:val="0"/>
                <w:sz w:val="24"/>
                <w:szCs w:val="24"/>
                <w:highlight w:val="none"/>
              </w:rPr>
            </w:pPr>
          </w:p>
        </w:tc>
        <w:tc>
          <w:tcPr>
            <w:tcW w:w="1113" w:type="dxa"/>
            <w:vMerge w:val="continue"/>
            <w:vAlign w:val="center"/>
          </w:tcPr>
          <w:p>
            <w:pPr>
              <w:adjustRightInd w:val="0"/>
              <w:snapToGrid w:val="0"/>
              <w:jc w:val="center"/>
              <w:rPr>
                <w:rFonts w:hint="eastAsia" w:ascii="仿宋" w:hAnsi="仿宋" w:eastAsia="仿宋" w:cs="仿宋"/>
                <w:color w:val="auto"/>
                <w:kern w:val="0"/>
                <w:sz w:val="24"/>
                <w:szCs w:val="24"/>
                <w:highlight w:val="none"/>
              </w:rPr>
            </w:pPr>
          </w:p>
        </w:tc>
        <w:tc>
          <w:tcPr>
            <w:tcW w:w="11812" w:type="dxa"/>
            <w:gridSpan w:val="2"/>
            <w:vAlign w:val="center"/>
          </w:tcPr>
          <w:p>
            <w:pPr>
              <w:adjustRightInd w:val="0"/>
              <w:spacing w:line="320" w:lineRule="exact"/>
              <w:rPr>
                <w:rFonts w:hint="eastAsia" w:ascii="仿宋" w:hAnsi="仿宋" w:eastAsia="仿宋" w:cs="仿宋"/>
                <w:color w:val="auto"/>
                <w:kern w:val="0"/>
                <w:sz w:val="24"/>
                <w:szCs w:val="24"/>
                <w:highlight w:val="none"/>
              </w:rPr>
            </w:pPr>
            <w:r>
              <w:rPr>
                <w:rFonts w:hint="eastAsia" w:ascii="仿宋_GB2312" w:hAnsi="宋体" w:cs="宋体"/>
                <w:color w:val="auto"/>
                <w:kern w:val="0"/>
                <w:sz w:val="21"/>
                <w:szCs w:val="21"/>
                <w:highlight w:val="none"/>
              </w:rPr>
              <w:t>如评价年度符合A</w:t>
            </w:r>
            <w:r>
              <w:rPr>
                <w:rFonts w:hint="eastAsia" w:ascii="仿宋_GB2312" w:hAnsi="宋体" w:cs="宋体"/>
                <w:color w:val="auto"/>
                <w:kern w:val="0"/>
                <w:sz w:val="21"/>
                <w:szCs w:val="21"/>
                <w:highlight w:val="none"/>
                <w:lang w:val="en-US" w:eastAsia="zh-CN"/>
              </w:rPr>
              <w:t>A</w:t>
            </w:r>
            <w:r>
              <w:rPr>
                <w:rFonts w:hint="eastAsia" w:ascii="仿宋_GB2312" w:hAnsi="宋体" w:cs="宋体"/>
                <w:color w:val="auto"/>
                <w:kern w:val="0"/>
                <w:sz w:val="21"/>
                <w:szCs w:val="21"/>
                <w:highlight w:val="none"/>
              </w:rPr>
              <w:t>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监理</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占参评单位（扣除自愿参评单位，包括符合AA级要求）的比例不足40%时</w:t>
            </w:r>
            <w:r>
              <w:rPr>
                <w:rFonts w:hint="eastAsia" w:ascii="仿宋_GB2312" w:hAnsi="宋体" w:cs="宋体"/>
                <w:color w:val="auto"/>
                <w:kern w:val="0"/>
                <w:sz w:val="21"/>
                <w:szCs w:val="21"/>
                <w:highlight w:val="none"/>
              </w:rPr>
              <w:t>，</w:t>
            </w:r>
            <w:r>
              <w:rPr>
                <w:rFonts w:hint="eastAsia" w:ascii="仿宋_GB2312" w:hAnsi="宋体" w:cs="宋体"/>
                <w:color w:val="auto"/>
                <w:kern w:val="0"/>
                <w:sz w:val="21"/>
                <w:szCs w:val="21"/>
                <w:highlight w:val="none"/>
                <w:lang w:val="en-US" w:eastAsia="zh-CN"/>
              </w:rPr>
              <w:t>则按照先降低参评合同段数量（2个降为1个），再降低合同额要求（按A级合同额要求10%一档）的原则，并经省交通建设信用体系领导小组审定后公布当年度具体要求，尽量保证</w:t>
            </w:r>
            <w:r>
              <w:rPr>
                <w:rFonts w:hint="eastAsia" w:ascii="仿宋_GB2312" w:hAnsi="宋体" w:cs="宋体"/>
                <w:color w:val="auto"/>
                <w:kern w:val="0"/>
                <w:sz w:val="21"/>
                <w:szCs w:val="21"/>
                <w:highlight w:val="none"/>
              </w:rPr>
              <w:t>评价年度</w:t>
            </w:r>
            <w:r>
              <w:rPr>
                <w:rFonts w:hint="eastAsia" w:ascii="仿宋_GB2312" w:hAnsi="宋体" w:cs="宋体"/>
                <w:color w:val="auto"/>
                <w:kern w:val="0"/>
                <w:sz w:val="21"/>
                <w:szCs w:val="21"/>
                <w:highlight w:val="none"/>
                <w:lang w:val="en-US" w:eastAsia="zh-CN"/>
              </w:rPr>
              <w:t>符合</w:t>
            </w:r>
            <w:r>
              <w:rPr>
                <w:rFonts w:hint="eastAsia" w:ascii="仿宋_GB2312" w:hAnsi="宋体" w:cs="宋体"/>
                <w:color w:val="auto"/>
                <w:kern w:val="0"/>
                <w:sz w:val="21"/>
                <w:szCs w:val="21"/>
                <w:highlight w:val="none"/>
              </w:rPr>
              <w:t>A级</w:t>
            </w:r>
            <w:r>
              <w:rPr>
                <w:rFonts w:hint="eastAsia" w:ascii="仿宋_GB2312" w:hAnsi="宋体" w:cs="宋体"/>
                <w:color w:val="auto"/>
                <w:kern w:val="0"/>
                <w:sz w:val="21"/>
                <w:szCs w:val="21"/>
                <w:highlight w:val="none"/>
                <w:lang w:val="en-US" w:eastAsia="zh-CN"/>
              </w:rPr>
              <w:t>要求（除评分X的要求）</w:t>
            </w:r>
            <w:r>
              <w:rPr>
                <w:rFonts w:hint="eastAsia" w:ascii="仿宋_GB2312" w:hAnsi="宋体" w:cs="宋体"/>
                <w:color w:val="auto"/>
                <w:kern w:val="0"/>
                <w:sz w:val="21"/>
                <w:szCs w:val="21"/>
                <w:highlight w:val="none"/>
              </w:rPr>
              <w:t>的</w:t>
            </w:r>
            <w:r>
              <w:rPr>
                <w:rFonts w:hint="eastAsia" w:ascii="仿宋_GB2312" w:hAnsi="宋体" w:cs="宋体"/>
                <w:color w:val="auto"/>
                <w:kern w:val="0"/>
                <w:sz w:val="21"/>
                <w:szCs w:val="21"/>
                <w:highlight w:val="none"/>
                <w:lang w:val="en-US" w:eastAsia="zh-CN"/>
              </w:rPr>
              <w:t>监理</w:t>
            </w:r>
            <w:r>
              <w:rPr>
                <w:rFonts w:hint="eastAsia" w:ascii="仿宋_GB2312" w:hAnsi="宋体" w:cs="宋体"/>
                <w:color w:val="auto"/>
                <w:kern w:val="0"/>
                <w:sz w:val="21"/>
                <w:szCs w:val="21"/>
                <w:highlight w:val="none"/>
              </w:rPr>
              <w:t>单位</w:t>
            </w:r>
            <w:r>
              <w:rPr>
                <w:rFonts w:hint="eastAsia" w:ascii="仿宋_GB2312" w:hAnsi="宋体" w:cs="宋体"/>
                <w:color w:val="auto"/>
                <w:kern w:val="0"/>
                <w:sz w:val="21"/>
                <w:szCs w:val="21"/>
                <w:highlight w:val="none"/>
                <w:lang w:val="en-US" w:eastAsia="zh-CN"/>
              </w:rPr>
              <w:t>占参评单位（扣除自愿参评单位，包括符合AA级要求）的比例满足40%，</w:t>
            </w:r>
            <w:r>
              <w:rPr>
                <w:rFonts w:hint="eastAsia" w:ascii="仿宋_GB2312" w:hAnsi="宋体" w:cs="宋体"/>
                <w:color w:val="auto"/>
                <w:kern w:val="0"/>
                <w:sz w:val="21"/>
                <w:szCs w:val="21"/>
                <w:highlight w:val="none"/>
              </w:rPr>
              <w:t>其他不变。</w:t>
            </w:r>
          </w:p>
        </w:tc>
        <w:tc>
          <w:tcPr>
            <w:tcW w:w="825" w:type="dxa"/>
            <w:vMerge w:val="continue"/>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825"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w:t>
            </w:r>
          </w:p>
        </w:tc>
        <w:tc>
          <w:tcPr>
            <w:tcW w:w="1113" w:type="dxa"/>
            <w:vAlign w:val="center"/>
          </w:tcPr>
          <w:p>
            <w:pPr>
              <w:adjustRightInd w:val="0"/>
              <w:snapToGrid w:val="0"/>
              <w:spacing w:line="3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1"/>
                <w:szCs w:val="21"/>
                <w:highlight w:val="none"/>
              </w:rPr>
              <w:t>75分≤X＜85分</w:t>
            </w:r>
          </w:p>
        </w:tc>
        <w:tc>
          <w:tcPr>
            <w:tcW w:w="11812"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或X≥</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5分，但其他条件要求不能满足AA、A级要求。</w:t>
            </w:r>
          </w:p>
        </w:tc>
        <w:tc>
          <w:tcPr>
            <w:tcW w:w="825"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825"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w:t>
            </w:r>
          </w:p>
        </w:tc>
        <w:tc>
          <w:tcPr>
            <w:tcW w:w="1113"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60分≤X＜75分</w:t>
            </w:r>
          </w:p>
        </w:tc>
        <w:tc>
          <w:tcPr>
            <w:tcW w:w="11812"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w:t>
            </w:r>
            <w:r>
              <w:rPr>
                <w:rFonts w:hint="eastAsia" w:ascii="仿宋" w:hAnsi="仿宋" w:eastAsia="仿宋" w:cs="仿宋"/>
                <w:color w:val="auto"/>
                <w:kern w:val="0"/>
                <w:sz w:val="21"/>
                <w:szCs w:val="21"/>
                <w:highlight w:val="none"/>
                <w:lang w:val="en-US" w:eastAsia="zh-CN"/>
              </w:rPr>
              <w:t>C</w:t>
            </w:r>
            <w:r>
              <w:rPr>
                <w:rFonts w:hint="eastAsia" w:ascii="仿宋" w:hAnsi="仿宋" w:eastAsia="仿宋" w:cs="仿宋"/>
                <w:color w:val="auto"/>
                <w:kern w:val="0"/>
                <w:sz w:val="21"/>
                <w:szCs w:val="21"/>
                <w:highlight w:val="none"/>
              </w:rPr>
              <w:t>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825"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825"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w:t>
            </w:r>
          </w:p>
        </w:tc>
        <w:tc>
          <w:tcPr>
            <w:tcW w:w="1113" w:type="dxa"/>
            <w:vAlign w:val="center"/>
          </w:tcPr>
          <w:p>
            <w:pPr>
              <w:adjustRightInd w:val="0"/>
              <w:snapToGrid w:val="0"/>
              <w:spacing w:line="3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X＜60</w:t>
            </w:r>
          </w:p>
        </w:tc>
        <w:tc>
          <w:tcPr>
            <w:tcW w:w="11812" w:type="dxa"/>
            <w:gridSpan w:val="2"/>
            <w:vAlign w:val="center"/>
          </w:tcPr>
          <w:p>
            <w:pPr>
              <w:adjustRightIn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或者存在直接定为D级的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825" w:type="dxa"/>
            <w:vAlign w:val="center"/>
          </w:tcPr>
          <w:p>
            <w:pPr>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信用差</w:t>
            </w:r>
          </w:p>
        </w:tc>
      </w:tr>
    </w:tbl>
    <w:p>
      <w:pPr>
        <w:adjustRightInd w:val="0"/>
        <w:spacing w:line="360" w:lineRule="auto"/>
        <w:ind w:firstLine="360" w:firstLineChars="150"/>
        <w:jc w:val="center"/>
        <w:rPr>
          <w:rFonts w:hint="eastAsia" w:ascii="仿宋_GB2312" w:hAnsi="宋体" w:cs="仿宋_GB2312"/>
          <w:color w:val="auto"/>
          <w:kern w:val="0"/>
          <w:sz w:val="24"/>
          <w:szCs w:val="24"/>
          <w:highlight w:val="none"/>
        </w:rPr>
      </w:pPr>
    </w:p>
    <w:p>
      <w:pPr>
        <w:adjustRightInd w:val="0"/>
        <w:spacing w:line="360" w:lineRule="auto"/>
        <w:ind w:firstLine="420" w:firstLineChars="150"/>
        <w:rPr>
          <w:rFonts w:ascii="黑体" w:hAnsi="Arial" w:eastAsia="黑体" w:cs="仿宋_GB2312"/>
          <w:bCs/>
          <w:color w:val="auto"/>
          <w:spacing w:val="-20"/>
          <w:kern w:val="0"/>
          <w:szCs w:val="32"/>
          <w:highlight w:val="none"/>
        </w:rPr>
        <w:sectPr>
          <w:pgSz w:w="16838" w:h="11906" w:orient="landscape"/>
          <w:pgMar w:top="607" w:right="720" w:bottom="607" w:left="720" w:header="851" w:footer="992" w:gutter="0"/>
          <w:pgNumType w:fmt="decimal"/>
          <w:cols w:space="720" w:num="1"/>
          <w:rtlGutter w:val="0"/>
          <w:docGrid w:type="lines" w:linePitch="312" w:charSpace="0"/>
        </w:sectPr>
      </w:pPr>
    </w:p>
    <w:tbl>
      <w:tblPr>
        <w:tblStyle w:val="5"/>
        <w:tblpPr w:leftFromText="180" w:rightFromText="180" w:vertAnchor="text" w:horzAnchor="page" w:tblpX="1482" w:tblpY="624"/>
        <w:tblOverlap w:val="never"/>
        <w:tblW w:w="14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06"/>
        <w:gridCol w:w="6087"/>
        <w:gridCol w:w="41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2" w:type="dxa"/>
            <w:vAlign w:val="center"/>
          </w:tcPr>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w:t>
            </w:r>
          </w:p>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等级</w:t>
            </w:r>
          </w:p>
        </w:tc>
        <w:tc>
          <w:tcPr>
            <w:tcW w:w="1906" w:type="dxa"/>
            <w:vAlign w:val="center"/>
          </w:tcPr>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评分要求(X)</w:t>
            </w:r>
          </w:p>
        </w:tc>
        <w:tc>
          <w:tcPr>
            <w:tcW w:w="6087" w:type="dxa"/>
            <w:vAlign w:val="center"/>
          </w:tcPr>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项目数量及合同额要求</w:t>
            </w:r>
          </w:p>
        </w:tc>
        <w:tc>
          <w:tcPr>
            <w:tcW w:w="4150" w:type="dxa"/>
            <w:vAlign w:val="center"/>
          </w:tcPr>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其他要求</w:t>
            </w:r>
          </w:p>
        </w:tc>
        <w:tc>
          <w:tcPr>
            <w:tcW w:w="1350" w:type="dxa"/>
            <w:vAlign w:val="center"/>
          </w:tcPr>
          <w:p>
            <w:pPr>
              <w:adjustRightInd w:val="0"/>
              <w:spacing w:line="36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82"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AA</w:t>
            </w:r>
          </w:p>
        </w:tc>
        <w:tc>
          <w:tcPr>
            <w:tcW w:w="1906"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X≥95分</w:t>
            </w:r>
          </w:p>
        </w:tc>
        <w:tc>
          <w:tcPr>
            <w:tcW w:w="6087" w:type="dxa"/>
            <w:vAlign w:val="center"/>
          </w:tcPr>
          <w:p>
            <w:pPr>
              <w:adjustRightInd w:val="0"/>
              <w:snapToGrid w:val="0"/>
              <w:spacing w:line="32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评价年度内参与评价的我省</w:t>
            </w:r>
            <w:r>
              <w:rPr>
                <w:rFonts w:hint="eastAsia" w:ascii="仿宋" w:hAnsi="仿宋" w:eastAsia="仿宋" w:cs="仿宋"/>
                <w:color w:val="auto"/>
                <w:kern w:val="0"/>
                <w:sz w:val="21"/>
                <w:szCs w:val="21"/>
                <w:highlight w:val="none"/>
                <w:lang w:eastAsia="zh-CN"/>
              </w:rPr>
              <w:t>水运</w:t>
            </w:r>
            <w:r>
              <w:rPr>
                <w:rFonts w:hint="eastAsia" w:ascii="仿宋" w:hAnsi="仿宋" w:eastAsia="仿宋" w:cs="仿宋"/>
                <w:color w:val="auto"/>
                <w:kern w:val="0"/>
                <w:sz w:val="21"/>
                <w:szCs w:val="21"/>
                <w:highlight w:val="none"/>
              </w:rPr>
              <w:t>工程咨询服务项目合同总额累计超过</w:t>
            </w:r>
            <w:r>
              <w:rPr>
                <w:rFonts w:hint="eastAsia" w:ascii="仿宋" w:hAnsi="仿宋" w:eastAsia="仿宋" w:cs="仿宋"/>
                <w:color w:val="auto"/>
                <w:kern w:val="0"/>
                <w:sz w:val="21"/>
                <w:szCs w:val="21"/>
                <w:highlight w:val="none"/>
                <w:lang w:val="en-US" w:eastAsia="zh-CN"/>
              </w:rPr>
              <w:t>200</w:t>
            </w:r>
            <w:r>
              <w:rPr>
                <w:rFonts w:hint="eastAsia" w:ascii="仿宋" w:hAnsi="仿宋" w:eastAsia="仿宋" w:cs="仿宋"/>
                <w:color w:val="auto"/>
                <w:kern w:val="0"/>
                <w:sz w:val="21"/>
                <w:szCs w:val="21"/>
                <w:highlight w:val="none"/>
              </w:rPr>
              <w:t>万元。</w:t>
            </w:r>
          </w:p>
        </w:tc>
        <w:tc>
          <w:tcPr>
            <w:tcW w:w="4150" w:type="dxa"/>
            <w:vAlign w:val="center"/>
          </w:tcPr>
          <w:p>
            <w:pPr>
              <w:adjustRightInd w:val="0"/>
              <w:snapToGrid w:val="0"/>
              <w:spacing w:line="32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在我省承担的</w:t>
            </w:r>
            <w:r>
              <w:rPr>
                <w:rFonts w:hint="eastAsia" w:ascii="仿宋" w:hAnsi="仿宋" w:eastAsia="仿宋" w:cs="仿宋"/>
                <w:color w:val="auto"/>
                <w:kern w:val="0"/>
                <w:sz w:val="21"/>
                <w:szCs w:val="21"/>
                <w:highlight w:val="none"/>
                <w:lang w:val="en-US" w:eastAsia="zh-CN"/>
              </w:rPr>
              <w:t>水运</w:t>
            </w:r>
            <w:r>
              <w:rPr>
                <w:rFonts w:hint="eastAsia" w:ascii="仿宋" w:hAnsi="仿宋" w:eastAsia="仿宋" w:cs="仿宋"/>
                <w:color w:val="auto"/>
                <w:kern w:val="0"/>
                <w:sz w:val="21"/>
                <w:szCs w:val="21"/>
                <w:highlight w:val="none"/>
              </w:rPr>
              <w:t>工程咨询项目有两个以上（含两个）在评价年度内通过交通运输主管部门或其委托单位审查（批）。</w:t>
            </w:r>
          </w:p>
        </w:tc>
        <w:tc>
          <w:tcPr>
            <w:tcW w:w="1350"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1082"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w:t>
            </w:r>
          </w:p>
        </w:tc>
        <w:tc>
          <w:tcPr>
            <w:tcW w:w="1906"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X≥85分</w:t>
            </w:r>
          </w:p>
        </w:tc>
        <w:tc>
          <w:tcPr>
            <w:tcW w:w="6087" w:type="dxa"/>
            <w:vAlign w:val="center"/>
          </w:tcPr>
          <w:p>
            <w:pPr>
              <w:adjustRightInd w:val="0"/>
              <w:snapToGrid w:val="0"/>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评价年度内参与评价的我省</w:t>
            </w:r>
            <w:r>
              <w:rPr>
                <w:rFonts w:hint="eastAsia" w:ascii="仿宋" w:hAnsi="仿宋" w:eastAsia="仿宋" w:cs="仿宋"/>
                <w:color w:val="auto"/>
                <w:kern w:val="0"/>
                <w:sz w:val="21"/>
                <w:szCs w:val="21"/>
                <w:highlight w:val="none"/>
                <w:lang w:eastAsia="zh-CN"/>
              </w:rPr>
              <w:t>水运</w:t>
            </w:r>
            <w:r>
              <w:rPr>
                <w:rFonts w:hint="eastAsia" w:ascii="仿宋" w:hAnsi="仿宋" w:eastAsia="仿宋" w:cs="仿宋"/>
                <w:color w:val="auto"/>
                <w:kern w:val="0"/>
                <w:sz w:val="21"/>
                <w:szCs w:val="21"/>
                <w:highlight w:val="none"/>
              </w:rPr>
              <w:t>工程咨询服务项目合同总额累计超过</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00万元。</w:t>
            </w:r>
          </w:p>
        </w:tc>
        <w:tc>
          <w:tcPr>
            <w:tcW w:w="4150" w:type="dxa"/>
            <w:vAlign w:val="center"/>
          </w:tcPr>
          <w:p>
            <w:pPr>
              <w:adjustRightInd w:val="0"/>
              <w:snapToGrid w:val="0"/>
              <w:spacing w:line="32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在我省承担的</w:t>
            </w:r>
            <w:r>
              <w:rPr>
                <w:rFonts w:hint="eastAsia" w:ascii="仿宋" w:hAnsi="仿宋" w:eastAsia="仿宋" w:cs="仿宋"/>
                <w:color w:val="auto"/>
                <w:kern w:val="0"/>
                <w:sz w:val="21"/>
                <w:szCs w:val="21"/>
                <w:highlight w:val="none"/>
                <w:lang w:val="en-US" w:eastAsia="zh-CN"/>
              </w:rPr>
              <w:t>水运</w:t>
            </w:r>
            <w:r>
              <w:rPr>
                <w:rFonts w:hint="eastAsia" w:ascii="仿宋" w:hAnsi="仿宋" w:eastAsia="仿宋" w:cs="仿宋"/>
                <w:color w:val="auto"/>
                <w:kern w:val="0"/>
                <w:sz w:val="21"/>
                <w:szCs w:val="21"/>
                <w:highlight w:val="none"/>
              </w:rPr>
              <w:t>工程咨询项目有一个项目在评价年度内通过交通运输主管部门或其委托单位审查（批）。</w:t>
            </w:r>
          </w:p>
        </w:tc>
        <w:tc>
          <w:tcPr>
            <w:tcW w:w="1350"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082"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B</w:t>
            </w:r>
          </w:p>
        </w:tc>
        <w:tc>
          <w:tcPr>
            <w:tcW w:w="1906" w:type="dxa"/>
            <w:vAlign w:val="center"/>
          </w:tcPr>
          <w:p>
            <w:pPr>
              <w:adjustRightInd w:val="0"/>
              <w:snapToGrid w:val="0"/>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75分≤X＜85分</w:t>
            </w:r>
          </w:p>
        </w:tc>
        <w:tc>
          <w:tcPr>
            <w:tcW w:w="10237"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或X≥</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5分，但其他条件要求不能满足AA、A级要求。</w:t>
            </w:r>
          </w:p>
        </w:tc>
        <w:tc>
          <w:tcPr>
            <w:tcW w:w="1350"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082"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w:t>
            </w:r>
          </w:p>
        </w:tc>
        <w:tc>
          <w:tcPr>
            <w:tcW w:w="1906"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60分≤X＜75分</w:t>
            </w:r>
          </w:p>
        </w:tc>
        <w:tc>
          <w:tcPr>
            <w:tcW w:w="10237" w:type="dxa"/>
            <w:gridSpan w:val="2"/>
            <w:vAlign w:val="center"/>
          </w:tcPr>
          <w:p>
            <w:pPr>
              <w:keepNext w:val="0"/>
              <w:keepLines w:val="0"/>
              <w:pageBreakBefore w:val="0"/>
              <w:widowControl w:val="0"/>
              <w:kinsoku/>
              <w:wordWrap/>
              <w:overflowPunct/>
              <w:topLinePunct w:val="0"/>
              <w:autoSpaceDE/>
              <w:autoSpaceDN/>
              <w:bidi w:val="0"/>
              <w:adjustRightInd w:val="0"/>
              <w:spacing w:line="26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w:t>
            </w:r>
            <w:r>
              <w:rPr>
                <w:rFonts w:hint="eastAsia" w:ascii="仿宋" w:hAnsi="仿宋" w:eastAsia="仿宋" w:cs="仿宋"/>
                <w:color w:val="auto"/>
                <w:kern w:val="0"/>
                <w:sz w:val="21"/>
                <w:szCs w:val="21"/>
                <w:highlight w:val="none"/>
                <w:lang w:val="en-US" w:eastAsia="zh-CN"/>
              </w:rPr>
              <w:t>C</w:t>
            </w:r>
            <w:r>
              <w:rPr>
                <w:rFonts w:hint="eastAsia" w:ascii="仿宋" w:hAnsi="仿宋" w:eastAsia="仿宋" w:cs="仿宋"/>
                <w:color w:val="auto"/>
                <w:kern w:val="0"/>
                <w:sz w:val="21"/>
                <w:szCs w:val="21"/>
                <w:highlight w:val="none"/>
              </w:rPr>
              <w:t>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1350"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82"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w:t>
            </w:r>
          </w:p>
        </w:tc>
        <w:tc>
          <w:tcPr>
            <w:tcW w:w="1906"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X＜60</w:t>
            </w:r>
          </w:p>
        </w:tc>
        <w:tc>
          <w:tcPr>
            <w:tcW w:w="10237" w:type="dxa"/>
            <w:gridSpan w:val="2"/>
            <w:vAlign w:val="center"/>
          </w:tcPr>
          <w:p>
            <w:pPr>
              <w:adjustRightInd w:val="0"/>
              <w:spacing w:line="4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无项目数量及合同额要求；</w:t>
            </w:r>
            <w:r>
              <w:rPr>
                <w:rFonts w:hint="eastAsia" w:ascii="仿宋" w:hAnsi="仿宋" w:eastAsia="仿宋" w:cs="仿宋"/>
                <w:color w:val="auto"/>
                <w:kern w:val="0"/>
                <w:sz w:val="21"/>
                <w:szCs w:val="21"/>
                <w:highlight w:val="none"/>
              </w:rPr>
              <w:t>或者存在直接定为D级的</w:t>
            </w:r>
            <w:r>
              <w:rPr>
                <w:rFonts w:hint="eastAsia" w:ascii="仿宋" w:hAnsi="仿宋" w:eastAsia="仿宋" w:cs="仿宋"/>
                <w:color w:val="auto"/>
                <w:kern w:val="0"/>
                <w:sz w:val="21"/>
                <w:szCs w:val="21"/>
                <w:highlight w:val="none"/>
                <w:lang w:eastAsia="zh-CN"/>
              </w:rPr>
              <w:t>不良</w:t>
            </w:r>
            <w:r>
              <w:rPr>
                <w:rFonts w:hint="eastAsia" w:ascii="仿宋" w:hAnsi="仿宋" w:eastAsia="仿宋" w:cs="仿宋"/>
                <w:color w:val="auto"/>
                <w:kern w:val="0"/>
                <w:sz w:val="21"/>
                <w:szCs w:val="21"/>
                <w:highlight w:val="none"/>
              </w:rPr>
              <w:t>行为</w:t>
            </w:r>
          </w:p>
        </w:tc>
        <w:tc>
          <w:tcPr>
            <w:tcW w:w="1350" w:type="dxa"/>
            <w:vAlign w:val="center"/>
          </w:tcPr>
          <w:p>
            <w:pPr>
              <w:adjustRightInd w:val="0"/>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信用差</w:t>
            </w:r>
          </w:p>
        </w:tc>
      </w:tr>
    </w:tbl>
    <w:p>
      <w:pPr>
        <w:adjustRightInd w:val="0"/>
        <w:ind w:firstLine="420" w:firstLineChars="150"/>
        <w:jc w:val="center"/>
        <w:rPr>
          <w:rFonts w:ascii="华文中宋" w:hAnsi="华文中宋" w:eastAsia="华文中宋" w:cs="华文中宋"/>
          <w:color w:val="auto"/>
          <w:kern w:val="0"/>
          <w:sz w:val="28"/>
          <w:szCs w:val="28"/>
          <w:highlight w:val="none"/>
        </w:rPr>
      </w:pPr>
      <w:r>
        <w:rPr>
          <w:rFonts w:hint="eastAsia" w:ascii="华文中宋" w:hAnsi="华文中宋" w:eastAsia="华文中宋" w:cs="华文中宋"/>
          <w:color w:val="auto"/>
          <w:kern w:val="0"/>
          <w:sz w:val="28"/>
          <w:szCs w:val="28"/>
          <w:highlight w:val="none"/>
          <w:lang w:val="en-US" w:eastAsia="zh-CN"/>
        </w:rPr>
        <w:t>四</w:t>
      </w:r>
      <w:r>
        <w:rPr>
          <w:rFonts w:hint="eastAsia" w:ascii="华文中宋" w:hAnsi="华文中宋" w:eastAsia="华文中宋" w:cs="华文中宋"/>
          <w:color w:val="auto"/>
          <w:kern w:val="0"/>
          <w:sz w:val="28"/>
          <w:szCs w:val="28"/>
          <w:highlight w:val="none"/>
        </w:rPr>
        <w:t>、</w:t>
      </w:r>
      <w:r>
        <w:rPr>
          <w:rFonts w:hint="eastAsia" w:ascii="华文中宋" w:hAnsi="华文中宋" w:eastAsia="华文中宋" w:cs="华文中宋"/>
          <w:color w:val="auto"/>
          <w:kern w:val="0"/>
          <w:sz w:val="28"/>
          <w:szCs w:val="28"/>
          <w:highlight w:val="none"/>
          <w:lang w:eastAsia="zh-CN"/>
        </w:rPr>
        <w:t>水运</w:t>
      </w:r>
      <w:r>
        <w:rPr>
          <w:rFonts w:hint="eastAsia" w:ascii="华文中宋" w:hAnsi="华文中宋" w:eastAsia="华文中宋" w:cs="华文中宋"/>
          <w:color w:val="auto"/>
          <w:kern w:val="0"/>
          <w:sz w:val="28"/>
          <w:szCs w:val="28"/>
          <w:highlight w:val="none"/>
        </w:rPr>
        <w:t>工程咨询单位信用评价等级标准</w:t>
      </w:r>
    </w:p>
    <w:p>
      <w:pPr>
        <w:adjustRightInd w:val="0"/>
        <w:spacing w:line="400" w:lineRule="exact"/>
        <w:ind w:firstLine="420" w:firstLineChars="200"/>
        <w:rPr>
          <w:rFonts w:hint="eastAsia" w:ascii="仿宋_GB2312" w:hAnsi="宋体" w:cs="仿宋_GB2312"/>
          <w:color w:val="auto"/>
          <w:kern w:val="0"/>
          <w:sz w:val="21"/>
          <w:szCs w:val="21"/>
          <w:highlight w:val="none"/>
          <w:lang w:val="en-US" w:eastAsia="zh-CN"/>
        </w:rPr>
      </w:pPr>
    </w:p>
    <w:p>
      <w:pPr>
        <w:adjustRightInd w:val="0"/>
        <w:spacing w:line="400" w:lineRule="exact"/>
        <w:ind w:firstLine="420" w:firstLineChars="200"/>
        <w:rPr>
          <w:rFonts w:hint="eastAsia" w:ascii="仿宋_GB2312" w:hAnsi="宋体" w:cs="仿宋_GB2312"/>
          <w:color w:val="auto"/>
          <w:kern w:val="0"/>
          <w:sz w:val="21"/>
          <w:szCs w:val="21"/>
          <w:highlight w:val="none"/>
          <w:lang w:val="en-US" w:eastAsia="zh-CN"/>
        </w:rPr>
      </w:pPr>
      <w:r>
        <w:rPr>
          <w:rFonts w:hint="eastAsia" w:ascii="仿宋_GB2312" w:hAnsi="宋体" w:cs="仿宋_GB2312"/>
          <w:color w:val="auto"/>
          <w:kern w:val="0"/>
          <w:sz w:val="21"/>
          <w:szCs w:val="21"/>
          <w:highlight w:val="none"/>
          <w:lang w:val="en-US" w:eastAsia="zh-CN"/>
        </w:rPr>
        <w:t>说明：1.项目建设单位信用评价等级标准执行分数要求和办法中其他要求，无项目数量及合同额要求。</w:t>
      </w:r>
    </w:p>
    <w:p>
      <w:pPr>
        <w:adjustRightInd w:val="0"/>
        <w:spacing w:line="400" w:lineRule="exact"/>
        <w:ind w:firstLine="1050" w:firstLineChars="500"/>
        <w:rPr>
          <w:rFonts w:hint="eastAsia" w:ascii="黑体" w:hAnsi="黑体" w:eastAsia="黑体" w:cs="黑体"/>
          <w:color w:val="auto"/>
          <w:szCs w:val="32"/>
          <w:highlight w:val="none"/>
        </w:rPr>
      </w:pPr>
      <w:r>
        <w:rPr>
          <w:rFonts w:hint="eastAsia" w:ascii="仿宋_GB2312" w:hAnsi="宋体" w:cs="仿宋_GB2312"/>
          <w:color w:val="auto"/>
          <w:kern w:val="0"/>
          <w:sz w:val="21"/>
          <w:szCs w:val="21"/>
          <w:highlight w:val="none"/>
          <w:lang w:val="en-US" w:eastAsia="zh-CN"/>
        </w:rPr>
        <w:t>2.《水运工程从业单位信用评价等级标准》所列AA、A级需同时满足评分要求、从业项目数量及合同额要求、其他要求。</w:t>
      </w:r>
    </w:p>
    <w:p>
      <w:pPr>
        <w:numPr>
          <w:ilvl w:val="-1"/>
          <w:numId w:val="0"/>
        </w:numPr>
        <w:rPr>
          <w:rFonts w:hint="eastAsia" w:ascii="仿宋_GB2312" w:hAnsi="仿宋" w:cs="仿宋_GB2312"/>
          <w:color w:val="auto"/>
          <w:sz w:val="28"/>
          <w:szCs w:val="28"/>
          <w:highlight w:val="none"/>
        </w:rPr>
      </w:pPr>
    </w:p>
    <w:sectPr>
      <w:headerReference r:id="rId5" w:type="default"/>
      <w:pgSz w:w="16838" w:h="11906" w:orient="landscape"/>
      <w:pgMar w:top="1800" w:right="1440" w:bottom="1800"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仿宋_GB2312"/>
                              <w:sz w:val="28"/>
                              <w:szCs w:val="28"/>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13</w:t>
                          </w:r>
                          <w:r>
                            <w:rPr>
                              <w:rFonts w:hint="eastAsia"/>
                              <w:sz w:val="24"/>
                              <w:szCs w:val="24"/>
                              <w:lang w:eastAsia="zh-CN"/>
                            </w:rPr>
                            <w:fldChar w:fldCharType="end"/>
                          </w:r>
                          <w:r>
                            <w:rPr>
                              <w:rFonts w:hint="eastAsia"/>
                              <w:sz w:val="24"/>
                              <w:szCs w:val="24"/>
                              <w:lang w:eastAsia="zh-CN"/>
                            </w:rPr>
                            <w:t xml:space="preserve"> 页 共 </w:t>
                          </w:r>
                          <w:r>
                            <w:rPr>
                              <w:rFonts w:hint="eastAsia"/>
                              <w:sz w:val="24"/>
                              <w:szCs w:val="24"/>
                              <w:lang w:eastAsia="zh-CN"/>
                            </w:rPr>
                            <w:fldChar w:fldCharType="begin"/>
                          </w:r>
                          <w:r>
                            <w:rPr>
                              <w:rFonts w:hint="eastAsia"/>
                              <w:sz w:val="24"/>
                              <w:szCs w:val="24"/>
                              <w:lang w:eastAsia="zh-CN"/>
                            </w:rPr>
                            <w:instrText xml:space="preserve"> NUMPAGES  \* MERGEFORMAT </w:instrText>
                          </w:r>
                          <w:r>
                            <w:rPr>
                              <w:rFonts w:hint="eastAsia"/>
                              <w:sz w:val="24"/>
                              <w:szCs w:val="24"/>
                              <w:lang w:eastAsia="zh-CN"/>
                            </w:rPr>
                            <w:fldChar w:fldCharType="separate"/>
                          </w:r>
                          <w:r>
                            <w:rPr>
                              <w:rFonts w:hint="eastAsia"/>
                              <w:sz w:val="24"/>
                              <w:szCs w:val="24"/>
                              <w:lang w:eastAsia="zh-CN"/>
                            </w:rPr>
                            <w:t>45</w:t>
                          </w:r>
                          <w:r>
                            <w:rPr>
                              <w:rFonts w:hint="eastAsia"/>
                              <w:sz w:val="24"/>
                              <w:szCs w:val="24"/>
                              <w:lang w:eastAsia="zh-CN"/>
                            </w:rPr>
                            <w:fldChar w:fldCharType="end"/>
                          </w:r>
                          <w:r>
                            <w:rPr>
                              <w:rFonts w:hint="eastAsia"/>
                              <w:sz w:val="24"/>
                              <w:szCs w:val="24"/>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eastAsia="仿宋_GB2312"/>
                        <w:sz w:val="28"/>
                        <w:szCs w:val="28"/>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13</w:t>
                    </w:r>
                    <w:r>
                      <w:rPr>
                        <w:rFonts w:hint="eastAsia"/>
                        <w:sz w:val="24"/>
                        <w:szCs w:val="24"/>
                        <w:lang w:eastAsia="zh-CN"/>
                      </w:rPr>
                      <w:fldChar w:fldCharType="end"/>
                    </w:r>
                    <w:r>
                      <w:rPr>
                        <w:rFonts w:hint="eastAsia"/>
                        <w:sz w:val="24"/>
                        <w:szCs w:val="24"/>
                        <w:lang w:eastAsia="zh-CN"/>
                      </w:rPr>
                      <w:t xml:space="preserve"> 页 共 </w:t>
                    </w:r>
                    <w:r>
                      <w:rPr>
                        <w:rFonts w:hint="eastAsia"/>
                        <w:sz w:val="24"/>
                        <w:szCs w:val="24"/>
                        <w:lang w:eastAsia="zh-CN"/>
                      </w:rPr>
                      <w:fldChar w:fldCharType="begin"/>
                    </w:r>
                    <w:r>
                      <w:rPr>
                        <w:rFonts w:hint="eastAsia"/>
                        <w:sz w:val="24"/>
                        <w:szCs w:val="24"/>
                        <w:lang w:eastAsia="zh-CN"/>
                      </w:rPr>
                      <w:instrText xml:space="preserve"> NUMPAGES  \* MERGEFORMAT </w:instrText>
                    </w:r>
                    <w:r>
                      <w:rPr>
                        <w:rFonts w:hint="eastAsia"/>
                        <w:sz w:val="24"/>
                        <w:szCs w:val="24"/>
                        <w:lang w:eastAsia="zh-CN"/>
                      </w:rPr>
                      <w:fldChar w:fldCharType="separate"/>
                    </w:r>
                    <w:r>
                      <w:rPr>
                        <w:rFonts w:hint="eastAsia"/>
                        <w:sz w:val="24"/>
                        <w:szCs w:val="24"/>
                        <w:lang w:eastAsia="zh-CN"/>
                      </w:rPr>
                      <w:t>45</w:t>
                    </w:r>
                    <w:r>
                      <w:rPr>
                        <w:rFonts w:hint="eastAsia"/>
                        <w:sz w:val="24"/>
                        <w:szCs w:val="24"/>
                        <w:lang w:eastAsia="zh-CN"/>
                      </w:rPr>
                      <w:fldChar w:fldCharType="end"/>
                    </w:r>
                    <w:r>
                      <w:rPr>
                        <w:rFonts w:hint="eastAsia"/>
                        <w:sz w:val="24"/>
                        <w:szCs w:val="24"/>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92CDC"/>
    <w:rsid w:val="035F2DCF"/>
    <w:rsid w:val="03887130"/>
    <w:rsid w:val="05AC6A10"/>
    <w:rsid w:val="05F1223C"/>
    <w:rsid w:val="096B606A"/>
    <w:rsid w:val="0B287F8B"/>
    <w:rsid w:val="0BBD4006"/>
    <w:rsid w:val="0C9637BF"/>
    <w:rsid w:val="0F9D6636"/>
    <w:rsid w:val="122468A7"/>
    <w:rsid w:val="144D7D4D"/>
    <w:rsid w:val="1910157F"/>
    <w:rsid w:val="19D509A9"/>
    <w:rsid w:val="1AE06483"/>
    <w:rsid w:val="1AE16FE7"/>
    <w:rsid w:val="1D020BB9"/>
    <w:rsid w:val="1E166CA4"/>
    <w:rsid w:val="1F9253A6"/>
    <w:rsid w:val="202578C0"/>
    <w:rsid w:val="220A2141"/>
    <w:rsid w:val="228D7454"/>
    <w:rsid w:val="237A2F86"/>
    <w:rsid w:val="23810BFF"/>
    <w:rsid w:val="266134CE"/>
    <w:rsid w:val="27A27079"/>
    <w:rsid w:val="2878718B"/>
    <w:rsid w:val="28B50242"/>
    <w:rsid w:val="2EBF7D41"/>
    <w:rsid w:val="2F1D28FB"/>
    <w:rsid w:val="2FD16CB1"/>
    <w:rsid w:val="309A1F33"/>
    <w:rsid w:val="32DE72A7"/>
    <w:rsid w:val="331D127F"/>
    <w:rsid w:val="34D11788"/>
    <w:rsid w:val="34E91E16"/>
    <w:rsid w:val="35B92856"/>
    <w:rsid w:val="363E3D98"/>
    <w:rsid w:val="37983955"/>
    <w:rsid w:val="37BB034F"/>
    <w:rsid w:val="38B72F91"/>
    <w:rsid w:val="38D4669A"/>
    <w:rsid w:val="38EE06A8"/>
    <w:rsid w:val="38F95887"/>
    <w:rsid w:val="393F7F26"/>
    <w:rsid w:val="3BC20E5A"/>
    <w:rsid w:val="418D55C5"/>
    <w:rsid w:val="45DE18DE"/>
    <w:rsid w:val="48916B87"/>
    <w:rsid w:val="49572C93"/>
    <w:rsid w:val="49A706A1"/>
    <w:rsid w:val="49D57D29"/>
    <w:rsid w:val="4BC604E2"/>
    <w:rsid w:val="4D56256A"/>
    <w:rsid w:val="4D6C5149"/>
    <w:rsid w:val="4D836EAA"/>
    <w:rsid w:val="4F6961CC"/>
    <w:rsid w:val="50733943"/>
    <w:rsid w:val="50C001B2"/>
    <w:rsid w:val="51191215"/>
    <w:rsid w:val="56592CDC"/>
    <w:rsid w:val="57062B4A"/>
    <w:rsid w:val="5716716C"/>
    <w:rsid w:val="5B6421E5"/>
    <w:rsid w:val="5B6977F0"/>
    <w:rsid w:val="5C6E3ECA"/>
    <w:rsid w:val="5CF95174"/>
    <w:rsid w:val="5E8064B6"/>
    <w:rsid w:val="5E883595"/>
    <w:rsid w:val="5F472BF2"/>
    <w:rsid w:val="606E463E"/>
    <w:rsid w:val="60DE3FA0"/>
    <w:rsid w:val="61C21584"/>
    <w:rsid w:val="68283590"/>
    <w:rsid w:val="698C0B0E"/>
    <w:rsid w:val="6AB30581"/>
    <w:rsid w:val="6BA74C4A"/>
    <w:rsid w:val="6E9002C5"/>
    <w:rsid w:val="6F5B0E1B"/>
    <w:rsid w:val="70DC39E7"/>
    <w:rsid w:val="71BC052E"/>
    <w:rsid w:val="7313641D"/>
    <w:rsid w:val="733B61F9"/>
    <w:rsid w:val="74A45AC3"/>
    <w:rsid w:val="756639AC"/>
    <w:rsid w:val="77031840"/>
    <w:rsid w:val="7A0E1F90"/>
    <w:rsid w:val="7D135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widowControl/>
      <w:tabs>
        <w:tab w:val="center" w:pos="4153"/>
        <w:tab w:val="right" w:pos="8306"/>
      </w:tabs>
      <w:snapToGrid w:val="0"/>
      <w:spacing w:before="240" w:line="380" w:lineRule="atLeast"/>
      <w:jc w:val="center"/>
    </w:pPr>
    <w:rPr>
      <w:rFonts w:eastAsia="仿宋_GB2312"/>
      <w:spacing w:val="34"/>
      <w:kern w:val="0"/>
      <w:sz w:val="32"/>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font41"/>
    <w:basedOn w:val="6"/>
    <w:qFormat/>
    <w:uiPriority w:val="0"/>
    <w:rPr>
      <w:rFonts w:hint="eastAsia" w:ascii="仿宋" w:hAnsi="仿宋" w:eastAsia="仿宋" w:cs="仿宋"/>
      <w:color w:val="FF0000"/>
      <w:sz w:val="18"/>
      <w:szCs w:val="18"/>
      <w:u w:val="none"/>
    </w:rPr>
  </w:style>
  <w:style w:type="character" w:customStyle="1" w:styleId="9">
    <w:name w:val="font51"/>
    <w:basedOn w:val="6"/>
    <w:qFormat/>
    <w:uiPriority w:val="0"/>
    <w:rPr>
      <w:rFonts w:hint="eastAsia" w:ascii="仿宋" w:hAnsi="仿宋" w:eastAsia="仿宋" w:cs="仿宋"/>
      <w:color w:val="000000"/>
      <w:sz w:val="18"/>
      <w:szCs w:val="18"/>
      <w:u w:val="none"/>
    </w:rPr>
  </w:style>
  <w:style w:type="character" w:customStyle="1" w:styleId="10">
    <w:name w:val="font21"/>
    <w:basedOn w:val="6"/>
    <w:qFormat/>
    <w:uiPriority w:val="0"/>
    <w:rPr>
      <w:rFonts w:hint="eastAsia" w:ascii="仿宋" w:hAnsi="仿宋" w:eastAsia="仿宋" w:cs="仿宋"/>
      <w:color w:val="000000"/>
      <w:sz w:val="18"/>
      <w:szCs w:val="18"/>
      <w:u w:val="none"/>
    </w:rPr>
  </w:style>
  <w:style w:type="character" w:customStyle="1" w:styleId="11">
    <w:name w:val="font11"/>
    <w:basedOn w:val="6"/>
    <w:qFormat/>
    <w:uiPriority w:val="0"/>
    <w:rPr>
      <w:rFonts w:hint="eastAsia" w:ascii="宋体" w:hAnsi="宋体" w:eastAsia="宋体" w:cs="宋体"/>
      <w:color w:val="000000"/>
      <w:sz w:val="18"/>
      <w:szCs w:val="18"/>
      <w:u w:val="none"/>
    </w:rPr>
  </w:style>
  <w:style w:type="character" w:customStyle="1" w:styleId="12">
    <w:name w:val="font01"/>
    <w:basedOn w:val="6"/>
    <w:qFormat/>
    <w:uiPriority w:val="0"/>
    <w:rPr>
      <w:rFonts w:hint="eastAsia" w:ascii="仿宋" w:hAnsi="仿宋" w:eastAsia="仿宋" w:cs="仿宋"/>
      <w:color w:val="000000"/>
      <w:sz w:val="18"/>
      <w:szCs w:val="18"/>
      <w:u w:val="none"/>
    </w:rPr>
  </w:style>
  <w:style w:type="paragraph" w:customStyle="1" w:styleId="13">
    <w:name w:val="主题词"/>
    <w:basedOn w:val="1"/>
    <w:qFormat/>
    <w:uiPriority w:val="0"/>
    <w:pPr>
      <w:widowControl/>
      <w:spacing w:line="560" w:lineRule="atLeast"/>
    </w:pPr>
    <w:rPr>
      <w:rFonts w:eastAsia="黑体"/>
      <w:spacing w:val="8"/>
      <w:kern w:val="0"/>
      <w:sz w:val="32"/>
      <w:szCs w:val="20"/>
    </w:rPr>
  </w:style>
  <w:style w:type="paragraph" w:customStyle="1" w:styleId="14">
    <w:name w:val="抄送单位"/>
    <w:basedOn w:val="1"/>
    <w:qFormat/>
    <w:uiPriority w:val="0"/>
    <w:pPr>
      <w:widowControl/>
      <w:spacing w:line="560" w:lineRule="atLeast"/>
      <w:ind w:left="1276" w:hanging="936"/>
    </w:pPr>
    <w:rPr>
      <w:rFonts w:eastAsia="仿宋_GB2312"/>
      <w:spacing w:val="30"/>
      <w:kern w:val="0"/>
      <w:sz w:val="32"/>
      <w:szCs w:val="20"/>
    </w:rPr>
  </w:style>
  <w:style w:type="character" w:customStyle="1" w:styleId="15">
    <w:name w:val="抄送单位 Char"/>
    <w:qFormat/>
    <w:uiPriority w:val="0"/>
    <w:rPr>
      <w:rFonts w:eastAsia="仿宋_GB2312"/>
      <w:spacing w:val="30"/>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省交通运输厅</Company>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2020-09-24T01:08:00Z</dcterms:created>
  <dc:creator>阳海林</dc:creator>
  <cp:lastModifiedBy>DDZA10450</cp:lastModifiedBy>
  <dcterms:modified xsi:type="dcterms:W3CDTF">2022-02-07T07:42:24Z</dcterms:modified>
  <dc:title>附件2-1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A353E8E4D7C244559B41736BEF25D5AF</vt:lpwstr>
  </property>
</Properties>
</file>