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80" w:firstLineChars="200"/>
        <w:jc w:val="both"/>
        <w:textAlignment w:val="baseline"/>
        <w:outlineLvl w:val="9"/>
        <w:rPr>
          <w:rFonts w:hint="default"/>
          <w:lang w:val="en-US" w:eastAsia="zh-CN"/>
        </w:rPr>
      </w:pP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广东省安葬（放）设施建设计划表（2021-2030年）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tbl>
      <w:tblPr>
        <w:tblStyle w:val="5"/>
        <w:tblW w:w="894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1054"/>
        <w:gridCol w:w="1500"/>
        <w:gridCol w:w="1304"/>
        <w:gridCol w:w="1516"/>
        <w:gridCol w:w="20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市别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镇级公益性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安葬（放）设施</w:t>
            </w:r>
          </w:p>
        </w:tc>
        <w:tc>
          <w:tcPr>
            <w:tcW w:w="4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经营性公墓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至2025年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最低总数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现有总数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至2030年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规划新建数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至2030年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40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>
      <w:pPr>
        <w:adjustRightInd w:val="0"/>
        <w:snapToGrid w:val="0"/>
        <w:spacing w:line="300" w:lineRule="exac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备注：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1.根据国务院有关规定，参照以往惯例，制订本表。</w:t>
      </w:r>
    </w:p>
    <w:p>
      <w:pPr>
        <w:adjustRightInd w:val="0"/>
        <w:snapToGrid w:val="0"/>
        <w:spacing w:line="300" w:lineRule="exact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2.根据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《广东省殡葬事业发展“十四五”规划（2021-2025年）》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sz w:val="24"/>
          <w:szCs w:val="24"/>
        </w:rPr>
        <w:t>“每个乡镇至少建有一个镇级公益性安葬（放）设施”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的要求，本表设置了</w:t>
      </w:r>
      <w:r>
        <w:rPr>
          <w:rFonts w:hint="default" w:ascii="Times New Roman" w:hAnsi="Times New Roman" w:eastAsia="仿宋_GB2312" w:cs="Times New Roman"/>
          <w:sz w:val="24"/>
          <w:szCs w:val="24"/>
        </w:rPr>
        <w:t>“镇级公益性安葬（放）设施最低总数”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建设期限设为“至2025年”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推动建设更多镇级公益性安葬（放）设施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300" w:lineRule="exac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3.根据民政部</w:t>
      </w:r>
      <w:r>
        <w:rPr>
          <w:rFonts w:hint="default" w:ascii="Times New Roman" w:hAnsi="Times New Roman" w:eastAsia="仿宋_GB2312" w:cs="Times New Roman"/>
          <w:sz w:val="24"/>
          <w:szCs w:val="24"/>
        </w:rPr>
        <w:t>“严格控制经营性公墓”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的要求以及各市申报情况，结合我省经营性公墓发展实际，参照以往惯例，本表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设置了“经营性公墓最高总数”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建设期限设为“至2030年”，控制经营性公墓发展。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B4EF7"/>
    <w:rsid w:val="0EEB4EF7"/>
    <w:rsid w:val="37242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4"/>
    <w:qFormat/>
    <w:uiPriority w:val="0"/>
    <w:pPr>
      <w:spacing w:line="150" w:lineRule="atLeast"/>
      <w:ind w:firstLine="420" w:firstLineChars="200"/>
      <w:textAlignment w:val="baseline"/>
    </w:pPr>
  </w:style>
  <w:style w:type="paragraph" w:customStyle="1" w:styleId="4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2022-01-20T15:43:00Z</dcterms:created>
  <dc:creator>xugs</dc:creator>
  <cp:lastModifiedBy>DDZA10450</cp:lastModifiedBy>
  <dcterms:modified xsi:type="dcterms:W3CDTF">2022-01-24T07:11:07Z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