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广东省海上民用船舶动员征用规定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（2002年5月13日广东省人民政府令第72号公布　自2002年7月1日起施行）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做好我省海上民用船舶（以下简称民船）动员征用工作，提高被动员征用民船的应急保障能力，满足战时和特殊情况下民船动员征用的需要，根据《中华人民共和国国防法》、《国防交通条例》，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在全省范围内进行民船动员征用，必须遵守本规定。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本规定所称的民船动员征用，是指战时或特殊情况下，统一组织、调用民船及其设备和操作人员的活动。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省、市、县国防交通主管机构负责本地区民船动员征用工作，履行下列职责：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（一）指导、组织民船调查、统计和预动员登记工作，建立预动员征用民船档案和数据库；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（二）指导、检查本级民船动员征用准备工作的落实，协调研究解决有关问题；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（三）负责民船动员征用的日常管理、专业勤务训练；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（四）负责制定民船动员征用的预案和实施计划；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（五）负责被动员征用民船的复员、补偿等工作。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海事、渔业、交通、财政、民政和国防经济动员等部门按照各自职责，互相协作，共同做好民船动员征用工作。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各有关部门应与军事部门密切配合，确保民船动员征用任务的完成。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民船动员征用工作实行统一领导、分级负责、平战结合的原则。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国防交通主管机构、各级民船管理部门和民船所在单位应当加强对预动员征用民船的日常管理。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拥有民船的单位和个人，应依法履行民船动员征用的责任与义务，保证被动员征用民船及其设备技术状况良好，并保证随同船员具有相应的技能。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预动员征用登记和训练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以下民船，必须进行预动员征用登记：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适航于沿海以上航区的客船、高速客船（气垫船、水翼船）、客滚（渡）船、杂货船、散货船、滚装船、多用途船、集装箱船、半潜船、成品油船、散装（液体）化学品船、挖泥船、打桩船、起重船、泥（石）驳、方驳、拖轮、100千瓦以上的交通船、供水（油）船（驳）、测量船、修理船、潜水工作船、消防船等船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（二）50总吨以上的海上机动渔船。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以上民船必须是已经按照有关法律、法规规定进行登记的船舶，其船员也必须持有中华人民共和国海事、渔业和其他管理机关颁发的适任证书或其他合法证书。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对预动员征用民船发给省国防交通主管机构统一制作的《预动员征用民船登记证》。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领有《预动员征用民船登记证》的船舶，每年进行一次审验。审验工作由海事、交通、海洋与渔业部门结合船舶年审进行，或在年审运输许可证、船舶营运证、捕捞许可证进行，并将审验结果及时通知国防交通主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预动员征用民船由省国防交通主管机构按照战备专业保障队伍的要求、规模、制度，按船籍港属进行战备编队。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省、市、县国防交通主管机构，应根据预动员征用任务，会同有关部门和单位制定本地区民船动员征用预案，报本级国防动员委员会审批，并报上级国防交通主管机构备案。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国防交通主管机构应将经批准的民船动员征用预案的有关内容，及时通知预动员征用的民船单位或个人。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持有《预动员征用民船登记证》的民船发生所有权转移、抵押、光船租赁和注销事项的，应在10日内向船舶登记机关办理有关登记手续。船舶登记机关应将上述情况通报国防交通主管机构。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对预动员征用民船进行重大改造的，必须报经当地国防交通主管机构批准。国防交通主管机构应当在接到报告之日起10日内作出批准或者不予批准的决定，并通知报告人。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各级国防交通主管机构必须对预动员征用的船舶和船员组织专业勤务训练，需进行军事知识训练的，按军事部门要求进行。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领有《预动员征用民船登记证》船舶的船员及其管理指挥人员，必须按规定时间参加相关的训练和演练。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各级国防交通主管机构和交通、渔业、军事部门，应当根据分工，加强对民船训练的指导，解决训练中的困难和问题，定期考核，确保质量。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实　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当国家发布总动员令、局部动员令或突发事件需要动员征用民船时，省、市、县国防交通主管机构按照国家下达的民船动员征用任务，实施民船动员征用。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军队单位需要民船的，按战区规定的归口单位向战区国防交通主管机构提出申请；武装警察部队和民兵组织需要民船的，向当地国防交通主管机构提出申请。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省国防交通主管机构应当及时制定全省民船动员征用实施计划，报省国防动员委员会和省人民政府批准。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民船动员征用需要使用港口、码头、装卸设备、仓库等设施，应列入民船动员征用实施计划，有关单位必须给予保障。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省国防交通主管机构及时将被批准的动员征用任务，向下级国防交通主管机构和有关单位下达；下级国防交通主管机构和有关单位，应当立即向被动员征用民船下达动员征用通知，并督促做好船舶集结准备。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国防交通主管机构应当会同交通、渔业等主管部门确定集结水域、时间、方法。被动员征用民船单位和个人，必须按指定的时间、水域和方法，组织民船迅速隐蔽地进入集结水域。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被动员征用民船必须进行整备。整备可在集结前或集结后进行，情况紧急时，也可边集结边整备或到指定水域整备。整备内容包括：检查船舶的技术状况和相关设备的配套情况，补充燃料、淡水、物料和器材，配备加固捆绑器材和救助设备，根据任务需要，配备武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国防交通主管机构统一组织被动员征用民船的交接。被动员征用民船移交使用单位后，有关管理使用、安全防护、后勤保障和船舶维修等，由使用单位负责。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补偿和赔偿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国防交通主管机构应当与有关单位确定船舶复员归建时间，组织交接和损失评估，落实赔偿补偿等事宜，做好动员征用民船的复员归建工作。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民船动员征用经费应当依照国家有关规定，分别列入省、市和县财政年度预算计划及企业收支计划。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属于各级人民政府负担的经费，由省、市、县国防交通主管机构按照国家和战区军事部门的年度民船动员征用工作计划，会同交通、航运、海事、渔业、民政等有关部门编制年度民船动员征用经费收支使用计划，报本级国防动员委员会、人民政府审核后同意，随年度经费预算计划提请同级人民代表大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属于各级人民政府应当负担的民船动员征用经费支出范围，必须符合经批准的年度民船动员征用工作计划，主要用于以下项目：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（一）动员征用民船战备集结、编队、训练等项目补助；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（二）动员征用民船用于战备项目的技术改造补助；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（三）动员征用民船加装特殊专用设备的改造试验和技术储备经费的补助；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（四）动员征用民船使用港口、码头、仓库的适当补偿；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（五）动员征用民船的海上损失的合理赔偿；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（六）经各级国防交通主管部门审查，并报同级人民政府同意开支的民船动员征用中的其他有关项目。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民船动员征用经费应当根据其性质、来源与支出渠道，按照资金管理监督办法，接受各级财政审计部门的财务审计监督。各级审计部门在日常审计中，遇有民船动员征用经费收支内容的，在出具的审计报告中应当专项说明，并抄报上级国防动员委员会和国防交通主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有下列情形之一的，被动员征用的民船可以取得补偿：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（一）参加战备训练、演练的；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（二）战备集结待命的；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（三）处理突发事件和应急保障的；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（四）用于战备项目的民船技术改造的；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（五）其他用于民船动员征用的事项。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符合第二十七条规定的被动员征用的民船和人员可以获得下列补偿费用：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（一）船舶油料费；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（二）人员误工费；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（三）人员基本生活费；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有下列情形之一的，被动员征用的船舶和设施可以取得赔偿：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（一）因训练、演练、集结造成船舶损坏的；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（二）在训练、演练期间遭遇不可抗力或意外事件引起的损失的；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（三）其他经批准可以赔偿的。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属部队调用的被动员征用民船，其补偿费和赔偿费由被征用者向省或地级以上市国防交通主管机构提出申请，经军队民船使用部门审核，由军队支付；属武装警察部队、民兵组织等单位使用的，由被征用者向省或地级以上市国防交通主管机构提出申请，报同级国防动员委员会和人民政府审定，列入民船动员经费中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补偿标准由省国防交通主管机构会同省财政部门研究制定，报省人民政府批准后下发实施。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补偿时间由民船和使用单位协商确定，并在训练结束后3个月内结算完毕。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被动员征用民船的操作人员、指挥管理人员和服务人员，因执行作战、应急和军事战备训练任务负伤致残、牺牲、病故的，由民船动员征用单位和省或地级以上市国防交通主管机构出具证明，经相应的民政部门审批，并按有关规定给予抚恤优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违反本规定，逃避或者抗拒民船动员征用的单位主管人员、直接责任人、民船拥有者，由国防交通主管机构给予警告，可以并处被动员征用船舶、设备价值2倍以下的罚款。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违反本规定，有下列情形之一的单位主管人员和其他直接责任人员，由国防交通主管机构提请其所在的单位或者上级主管机关按照有关规定，给予行政处分，涉嫌犯罪的，移送司法机关处理：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（一）未经主管部门批准，擅自动员征用民船的；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（二）未按规定的时限、地点和要求集结民船，或者不服从指挥，给军事行动或其他应急保障造成严重损失的；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（三）故意破坏预动员征用民船致使其不能完成动员征用任务的。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本规定自2002年7月1日起施行。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1C12149"/>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2021-12-07T07:19:33Z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