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楷体_GB2312" w:cs="Times New Roman"/>
          <w:i w:val="0"/>
          <w:caps w:val="0"/>
          <w:color w:val="424242"/>
          <w:spacing w:val="0"/>
          <w:sz w:val="24"/>
          <w:szCs w:val="24"/>
          <w:u w:val="none"/>
          <w:shd w:val="clear" w:fill="FFFFFF"/>
          <w:lang w:eastAsia="zh-CN"/>
        </w:rPr>
      </w:pPr>
      <w:bookmarkStart w:id="0" w:name="_GoBack"/>
      <w:r>
        <w:rPr>
          <w:rFonts w:hint="default" w:asciiTheme="minorEastAsia" w:hAnsiTheme="minorEastAsia" w:eastAsiaTheme="minorEastAsia" w:cstheme="minorEastAsia"/>
          <w:color w:val="auto"/>
          <w:kern w:val="2"/>
          <w:sz w:val="44"/>
          <w:szCs w:val="44"/>
          <w:lang w:val="en-US" w:eastAsia="zh-CN" w:bidi="ar-SA"/>
        </w:rPr>
        <w:t>广东省旧城镇旧厂房旧村庄改造管理办法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(2021年</w:t>
      </w:r>
      <w:r>
        <w:rPr>
          <w:rFonts w:hint="eastAsia" w:ascii="楷体_GB2312" w:hAnsi="楷体_GB2312" w:eastAsia="楷体_GB2312" w:cs="楷体_GB2312"/>
          <w:i w:val="0"/>
          <w:caps w:val="0"/>
          <w:color w:val="333333"/>
          <w:spacing w:val="0"/>
          <w:sz w:val="32"/>
          <w:szCs w:val="32"/>
          <w:shd w:val="clear" w:fill="FFFFFF"/>
          <w:lang w:val="en-US" w:eastAsia="zh-CN"/>
        </w:rPr>
        <w:t>1</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17</w:t>
      </w:r>
      <w:r>
        <w:rPr>
          <w:rFonts w:hint="default" w:ascii="楷体_GB2312" w:hAnsi="楷体_GB2312" w:eastAsia="楷体_GB2312" w:cs="楷体_GB2312"/>
          <w:i w:val="0"/>
          <w:caps w:val="0"/>
          <w:color w:val="333333"/>
          <w:spacing w:val="0"/>
          <w:sz w:val="32"/>
          <w:szCs w:val="32"/>
          <w:shd w:val="clear" w:fill="FFFFFF"/>
          <w:lang w:val="en-US" w:eastAsia="zh-CN"/>
        </w:rPr>
        <w:t>日广东省人民政府令第2</w:t>
      </w:r>
      <w:r>
        <w:rPr>
          <w:rFonts w:hint="eastAsia" w:ascii="楷体_GB2312" w:hAnsi="楷体_GB2312" w:eastAsia="楷体_GB2312" w:cs="楷体_GB2312"/>
          <w:i w:val="0"/>
          <w:caps w:val="0"/>
          <w:color w:val="333333"/>
          <w:spacing w:val="0"/>
          <w:sz w:val="32"/>
          <w:szCs w:val="32"/>
          <w:shd w:val="clear" w:fill="FFFFFF"/>
          <w:lang w:val="en-US" w:eastAsia="zh-CN"/>
        </w:rPr>
        <w:t>79</w:t>
      </w:r>
      <w:r>
        <w:rPr>
          <w:rFonts w:hint="default" w:ascii="楷体_GB2312" w:hAnsi="楷体_GB2312" w:eastAsia="楷体_GB2312" w:cs="楷体_GB2312"/>
          <w:i w:val="0"/>
          <w:caps w:val="0"/>
          <w:color w:val="333333"/>
          <w:spacing w:val="0"/>
          <w:sz w:val="32"/>
          <w:szCs w:val="32"/>
          <w:shd w:val="clear" w:fill="FFFFFF"/>
          <w:lang w:val="en-US" w:eastAsia="zh-CN"/>
        </w:rPr>
        <w:t>号公布  自2021年</w:t>
      </w:r>
      <w:r>
        <w:rPr>
          <w:rFonts w:hint="eastAsia"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1</w:t>
      </w:r>
      <w:r>
        <w:rPr>
          <w:rFonts w:hint="default" w:ascii="楷体_GB2312" w:hAnsi="楷体_GB2312" w:eastAsia="楷体_GB2312" w:cs="楷体_GB2312"/>
          <w:i w:val="0"/>
          <w:caps w:val="0"/>
          <w:color w:val="333333"/>
          <w:spacing w:val="0"/>
          <w:sz w:val="32"/>
          <w:szCs w:val="32"/>
          <w:shd w:val="clear" w:fill="FFFFFF"/>
          <w:lang w:val="en-US" w:eastAsia="zh-CN"/>
        </w:rPr>
        <w:t>日起施行)</w:t>
      </w:r>
    </w:p>
    <w:p>
      <w:pPr>
        <w:pStyle w:val="2"/>
        <w:spacing w:line="240" w:lineRule="auto"/>
        <w:rPr>
          <w:rFonts w:hint="default"/>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为了加强旧城镇、旧厂房、旧村庄（以下统称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）改造管理，提高节约集约用地水平，改善人居环境，促进经济高质量发展，根据《中华人民共和国土地管理法》《中华人民共和国城乡规划法》等法律法规，结合本省实际，制定本办法。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本省行政区域内的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改造及其监督管理适用本办法。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本办法所称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改造，是指对纳入省</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改造地块数据库的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用地进行再开发、复垦修复或者综合整治的活动。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边角地、夹心地、插花地（以下统称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三地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）和其他用地，经批准后可以纳入</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改造项目进行整体利用。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改造应当遵循政府引导、市场运作、尊重历史、分类施策、统筹规划、共建共享的原则。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县级以上人民政府应当统筹协调有关部门共同推进本行政区域内的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县级以上人民政府自然资源主管部门负责本行政区域内的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改造规划、用地管理，会同有关部门开展相关调查评价、标图入库、实施监管工作。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县级以上人民政府发展改革、工业和信息化、财政、生态环境、住房城乡建设、交通运输、农业农村、金融、税务等部门在各自职责范围内负责做好</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改造相关工作。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改造包括下列类型：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（一）全面改造，是指以拆除重建方式对</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用地进行再开发，或者对</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用地实施生态修复、土地复垦；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（二）微改造，是指在维持现状建设格局基本不变的前提下，以改变功能、整饰修缮、完善公共设施等方式对</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用地进行综合整治；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（三）混合改造，是指全面改造和微改造相结合的类型。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县级以上人民政府自然资源主管部门应当会同同级有关部门对存量建设用地进行调查评价。调查评价成果作为</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改造标图入库及规划、用地管理的基础数据。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省人民政府自然资源主管部门负责建立、维护省</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改造地块数据库和省</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改造项目监管系统，组织实施</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改造动态监管。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县级以上人民政府自然资源主管部门可以会同有关部门将改造方案、规划调整以及土地转用、征收、收储、供应等事项整体报有批准权的机关一并审批。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规划管理</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default"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改造应当以国土空间规划为基本依据，不得违背国土空间规划的强制性内容，并以国土空间详细规划作为规划许可、改造实施的法定依据。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地级以上市、县级人民政府自然资源主管部门可以根据实际需要，以国土空间总体规划为基础，组织编制</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改造专项规划，报本级人民政府同意。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改造专项规划应当结合存量建设用地调查评价成果，明确规划期限内本行政区域</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改造的重点区域、改造目标等内容，并与国土空间详细规划做好衔接。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改造专项规划批准后应当纳入同级国土空间基础信息平台，叠加至国土空间规划</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一张图</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上，并将主要内容按照规定程序纳入国土空间详细规划组织实施。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市、县人民政府自然资源主管部门或者乡镇人民政府可以根据</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改造需要划定改造单元，组织编制或者修改改造单元范围内的国土空间详细规划，并对改造目标、改造模式、公共设施、利益平衡等方面提出具体要求，按照规定报有批准权的机关批准。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一个改造单元可以包括一个或者两个以上的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地级以上市人民政府自然资源主管部门委托的区人民政府自然资源主管部门，依据国土空间详细规划确定的改造单元总体指标等内容，可以对改造单元范围内单个地块的规划布局、用地功能、建设指标等方面作出详细规定，报地级以上市人民政府委托的区人民政府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用地管理</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政府、原权利人及其他市场主体可以作为改造主体实施</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国有企业、集体经济组织或者其他公有经济成分占主导地位的原权利人选择合作改造主体，应当采用招标、挂牌等公开方式。法律法规和规章另有规定的，从其规定。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改造项目范围内的土地或者地上建筑物、构筑物涉及不同权利人的，应当通过收购归宗、作价入股或者权益转移等方式形成单一改造主体。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应当在征集改造意愿的基础上，由县级以上人民政府自然资源主管部门组织编制改造方案，明确改造地块基本情况、改造意愿及补偿安置情况、改造主体及拟改造情况、需办理的规划及用地手续、资金筹措、开发时序、实施监管等内容，报本级人民政府批准后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改造方案中的拟改造情况应当符合高质量发展要求，有利于节约集约用地和改善人居环境。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改造用地审批包括下列类型：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（一）集体土地完善转用、征收审批；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（二）旧村庄集体建设用地转为国有建设用地审批；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（三）国有土地完善转用审批；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（四）</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三地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及其他用地办理转用、征收审批；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（五）供地审批。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办理本办法第十六条第一项至四项用地审批手续的，应当由县级以上人民政府自然资源主管部门负责组织报批材料，并报有批准权的机关审批。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办理本办法第十六条第一项至三项规定的用地审批手续的，应当符合下列条件：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（一）符合国土空间详细规划；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（二）已纳入省</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改造地块数据库；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（三）土地界址、地类、面积清楚，土地权属无争议；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（四）省人民政府规定的其他条件。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集体土地完善征收手续的，除应当符合第十八条规定的条件外，还应当符合下列条件：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（一）在规定期限前与农村集体经济组织、农户签订征地补偿安置协议并已经落实，且未因征地补偿安置产生纠纷；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（二）已按要求落实听证程序和办理社保审核。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第二十条　办理本办法第十六条第二项规定的用地审批手续的，除应当符合第十八条规定的条件外，还应当符合以下条件：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（一）集体建设用地来源合法；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（二）旧村庄集体建设用地转为国有建设用地及补偿安置方式经农村集体经济组织依法表决同意。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办理本办法第十六条第四项审批手续的，应当符合以下条件：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（一）符合本办法第三十六条规定；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（二）土地界址、地类、面积清楚，土地权属无争议；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（三）省人民政府规定的其他条件。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三地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和其他用地，除政府收储后按照规定划拨或者公开出让的情形外，可以以协议方式出让给符合条件的改造主体。土地使用年限可以按照改造后的土地用途重新确定。纳入</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改造项目进行整体利用的其他用地，改造后只能用于复建安置和公共设施建设。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地级以上市、县级人民政府组织实施旧城镇改造项目房屋征收与补偿工作，并通过公开方式确定改造主体的，应当在达到供地条件后与改造主体签订土地出让合同，根据改造需要一次或者分期供应土地。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收益分配</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改造项目供地应当以单宗或者区片市场评估价为基础，综合考虑改造主体承担的改造成本后按照程序确定政府应收地价。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改造成本包括前期费用、拆除临迁费用、补偿安置费用、搬迁奖励以及公共设施建设支出等实际发生的费用。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依法取得的工业用地改造后提高容积率但不改变土地用途、不延长土地使用年限的，不再增缴土地价款。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改造项目涉及政府征收、收回、收购土地及房屋的，按照法律法规和有关规定给予补偿安置。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除前款情形以外的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改造项目，可以按照协商一致原则给予补偿安置，也可以按照地级以上市人民政府的相关规定给予补偿安置。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用地由政府收储后公开出让的，可以结合本地实际和改造利益平衡需要，将扣除土地征收、收回、收购等费用以及计提资金后的出让收益的一定比例，或者土地公开成交价款的一定比例补偿给</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用地原权利人。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地级以上市、县级人民政府可以安排一定比例的土地出让收益用于支持改造为工业、公益性用途的项目，以及</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改造涉及的公共设施、历史文物保护、保障性住房等项目建设。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改造项目涉税管理按照《广东省</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改造税收指引》的规定办理。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省人民政府根据地级以上市</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改造所产生的土地增值税增长幅度，按一定比例给予补助。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地级以上市人民政府应当根据公共利益需要，明确</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改造公益性用地比例、规模等要求，按照规定程序在国土空间详细规划中予以落实。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改造主体实施</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改造项目，应当优先建设回迁安置房和公共设施。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监督管理</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default"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地级以上市人民政府自然资源主管部门会同有关部门开展本行政区域内</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用地的入库审核、实时备案及动态调整工作，并按照规定在省</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改造项目监管系统中填报项目用地批文、改造方案、供地结果、监管协议、实施情况等信息。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改造方案和本办法第十六条第一项至四项用地审批事项经批准后，改造主体不按照改造方案实施改造的，地级以上市、县级人民政府应当结合建设用地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增存挂钩</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机制要求，根据</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改造项目管理实际进行处置。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地级以上市、县级人民政府应当与改造主体签订项目监管协议，将其作为土地出让合同附件，并组织有关部门按照合同及监管协议约定，对</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改造项目进行绩效评价与联合监管。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标图入库、改造方案、用地审批等</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改造相关信息应当依照《中华人民共和国政府信息公开条例》的规定予以公开。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省人民政府对地级以上市</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改造成效进行综合评价，并根据综合评价结果，按照规定予以奖励。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法律责任</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县级以上人民政府自然资源主管部门及其他有关部门的工作人员在</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改造管理工作中玩忽职守、滥用职权、徇私舞弊，构成犯罪的，依法追究刑事责任；不构成犯罪的，依法给予处分。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改造主体违反《中华人民共和国土地管理法》《中华人民共和国城乡规划法》等法律法规实施改造的，依法追究法律责任。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有批准权限的人民政府对本办法第十六条第一项、第二项和第四项关于土地征收事项作出决定后，任何单位和个人违反土地管理法律、法规规定，阻挠征收土地的，由县级以上人民政府自然资源主管部门责令交出土地；拒不交出土地的，申请人民法院强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附 则</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default"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本办法下列用语的含义：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三地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是指符合国土空间详细规划但单个地块无法单独出具规划要点、无法单独标图入库，因成片改造需要与主体地块一并纳入改造项目进行整体利用，累计面积不超过主体地块总面积一定比例的边角地、夹心地、插花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边角地，是指被</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用地与建设规划边沿或者线性工程控制用地边沿分隔的地块。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夹心地，是指被</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用地包围或者夹杂于其中的地块。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插花地，是指与</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用地形成交互楔入状态的地块。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（二）其他用地，是指除</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三地</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以外，在旧村庄改造项目中，位于该村集体权属范围内、符合国土空间详细规划、无法单独标图入库，因成片改造需要与主体地块一并纳入改造项目进行整体利用的地块。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（三）标图入库，是指对符合条件、拟纳入</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改造项目进行整体利用的地块，在国土空间规划</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一张图</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上逐块标绘，纳入国土空间基础信息平台统一管理，形成</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改造地块数据库。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（四）原权利人，包括</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“三旧”</w:t>
      </w: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用地及其地上、地下建筑物、构筑物的所有权人、使用权人，以及按照有关规定处理后的实际用地人。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（五）公共设施，包括基础设施、公共服务设施、公共安全设施。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本办法自</w:t>
      </w:r>
      <w:r>
        <w:rPr>
          <w:rFonts w:hint="eastAsia" w:ascii="仿宋_GB2312" w:hAnsi="仿宋_GB2312" w:eastAsia="仿宋_GB2312" w:cs="仿宋_GB2312"/>
          <w:i w:val="0"/>
          <w:caps w:val="0"/>
          <w:color w:val="333333"/>
          <w:spacing w:val="0"/>
          <w:kern w:val="2"/>
          <w:sz w:val="32"/>
          <w:szCs w:val="32"/>
          <w:shd w:val="clear" w:fill="FFFFFF"/>
          <w:lang w:val="en-US" w:eastAsia="zh-CN" w:bidi="ar-SA"/>
        </w:rPr>
        <w:t>2021</w:t>
      </w:r>
      <w:r>
        <w:rPr>
          <w:rFonts w:hint="default" w:ascii="仿宋_GB2312" w:hAnsi="仿宋_GB2312" w:eastAsia="仿宋_GB2312" w:cs="仿宋_GB2312"/>
          <w:i w:val="0"/>
          <w:caps w:val="0"/>
          <w:color w:val="333333"/>
          <w:spacing w:val="0"/>
          <w:kern w:val="2"/>
          <w:sz w:val="32"/>
          <w:szCs w:val="32"/>
          <w:shd w:val="clear" w:fill="FFFFFF"/>
          <w:lang w:val="en-US" w:eastAsia="zh-CN" w:bidi="ar-SA"/>
        </w:rPr>
        <w:t>年3月1日起施行。</w:t>
      </w:r>
    </w:p>
    <w:p>
      <w:pPr>
        <w:pStyle w:val="2"/>
        <w:spacing w:line="240" w:lineRule="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49D11"/>
    <w:multiLevelType w:val="singleLevel"/>
    <w:tmpl w:val="74E49D11"/>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ADA0639"/>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har Char Char Char Char Char Char Char Char Char Char Char"/>
    <w:basedOn w:val="10"/>
    <w:link w:val="8"/>
    <w:qFormat/>
    <w:uiPriority w:val="0"/>
    <w:pPr>
      <w:widowControl/>
      <w:spacing w:after="160" w:afterLines="0" w:line="240" w:lineRule="exact"/>
      <w:jc w:val="left"/>
    </w:pPr>
  </w:style>
  <w:style w:type="paragraph" w:customStyle="1" w:styleId="1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1">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2021-12-06T11:24:02Z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