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hAnsi="黑体" w:eastAsia="黑体"/>
          <w:snapToGrid w:val="0"/>
          <w:color w:val="000000"/>
          <w:kern w:val="0"/>
          <w:szCs w:val="32"/>
        </w:rPr>
      </w:pPr>
      <w:r>
        <w:rPr>
          <w:rFonts w:hint="eastAsia" w:ascii="黑体" w:hAnsi="黑体" w:eastAsia="黑体"/>
          <w:snapToGrid w:val="0"/>
          <w:color w:val="000000"/>
          <w:kern w:val="0"/>
          <w:szCs w:val="32"/>
        </w:rPr>
        <w:t>附件2：</w:t>
      </w:r>
    </w:p>
    <w:p>
      <w:pPr>
        <w:spacing w:line="590" w:lineRule="exact"/>
        <w:jc w:val="center"/>
        <w:rPr>
          <w:rFonts w:ascii="仿宋_GB2312" w:hAnsi="宋体" w:eastAsia="仿宋_GB2312"/>
          <w:color w:val="000000"/>
          <w:szCs w:val="32"/>
        </w:rPr>
      </w:pPr>
    </w:p>
    <w:p>
      <w:pPr>
        <w:spacing w:line="800" w:lineRule="exact"/>
        <w:jc w:val="center"/>
        <w:rPr>
          <w:rFonts w:ascii="方正小标宋简体" w:hAnsi="宋体" w:eastAsia="方正小标宋简体"/>
          <w:color w:val="000000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广东省林业龙头企业</w:t>
      </w: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1200" w:lineRule="exact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 xml:space="preserve">申  </w:t>
      </w:r>
    </w:p>
    <w:p>
      <w:pPr>
        <w:spacing w:line="1200" w:lineRule="exact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>报</w:t>
      </w:r>
    </w:p>
    <w:p>
      <w:pPr>
        <w:spacing w:line="1200" w:lineRule="exact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>表</w:t>
      </w: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ind w:firstLine="824" w:firstLineChars="400"/>
        <w:jc w:val="center"/>
        <w:rPr>
          <w:rFonts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>申报单位：            （盖章）</w:t>
      </w:r>
    </w:p>
    <w:p>
      <w:pPr>
        <w:spacing w:line="590" w:lineRule="exact"/>
        <w:ind w:firstLine="1110" w:firstLineChars="539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ind w:firstLine="824" w:firstLineChars="400"/>
        <w:jc w:val="center"/>
        <w:rPr>
          <w:rFonts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>申报日期：    年    月    日</w:t>
      </w:r>
    </w:p>
    <w:p>
      <w:pPr>
        <w:spacing w:line="590" w:lineRule="exact"/>
        <w:jc w:val="left"/>
        <w:rPr>
          <w:rFonts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br w:type="page"/>
      </w:r>
    </w:p>
    <w:p>
      <w:pPr>
        <w:spacing w:line="59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广东省林业龙头企业申报表</w:t>
      </w:r>
    </w:p>
    <w:p>
      <w:pPr>
        <w:adjustRightInd w:val="0"/>
        <w:snapToGrid w:val="0"/>
        <w:spacing w:line="590" w:lineRule="exact"/>
        <w:ind w:firstLine="412" w:firstLineChars="200"/>
        <w:rPr>
          <w:rFonts w:ascii="仿宋_GB2312" w:hAnsi="黑体" w:eastAsia="仿宋_GB2312"/>
          <w:snapToGrid w:val="0"/>
          <w:color w:val="000000"/>
          <w:kern w:val="0"/>
          <w:szCs w:val="32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9"/>
        <w:gridCol w:w="641"/>
        <w:gridCol w:w="398"/>
        <w:gridCol w:w="709"/>
        <w:gridCol w:w="772"/>
        <w:gridCol w:w="362"/>
        <w:gridCol w:w="898"/>
        <w:gridCol w:w="377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  业  名  称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  业  地  址</w:t>
            </w:r>
          </w:p>
        </w:tc>
        <w:tc>
          <w:tcPr>
            <w:tcW w:w="517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创  办  时  间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联系人及电话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法定代表人及联系电话</w:t>
            </w:r>
          </w:p>
        </w:tc>
        <w:tc>
          <w:tcPr>
            <w:tcW w:w="517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          目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代号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一、企业经营情况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1.注册资本金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2.总资产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ind w:firstLine="192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其中：固定资产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3.总负债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4.资产负债率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％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5.企业经营、销售收入（市场交易额）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ind w:firstLine="192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其中：林产品销售收入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6.净利润（税后利润）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7.上交税金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8.净资产收益率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％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.林产品及其加工产品出口创汇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万美元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10.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年接待人数(森林生态旅游型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)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万人次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.林产品加工量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吨（m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.林产品销售率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％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20"/>
                <w:sz w:val="24"/>
                <w:szCs w:val="24"/>
              </w:rPr>
              <w:t>二、企业信用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1.依法纳税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是/否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3.银行出具的企业征信报告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有/否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20"/>
                <w:sz w:val="24"/>
                <w:szCs w:val="24"/>
              </w:rPr>
              <w:t>三、企业在岗人数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1.小计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其中：⑴签订合同职工数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ind w:firstLine="686" w:firstLineChars="350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⑵季节性临时工人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20"/>
                <w:sz w:val="24"/>
                <w:szCs w:val="24"/>
              </w:rPr>
              <w:t>四、带动农户情况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1.带动农户数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户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其中：⑴合同关系（含“订单”方式）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户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⑵合作方式按利润返还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户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⑶股份合作方式按股分红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户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⑷其它方式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户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2.带动农户增收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3.平均每户增收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4.创造当地就业人数（森林生态旅游型）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20"/>
                <w:sz w:val="24"/>
                <w:szCs w:val="24"/>
              </w:rPr>
              <w:t>五、基地情况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1.自有基地种植面积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2.带动农户种植面积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3.自有基地养殖面积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4.带动农户养殖面积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5.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交易场地总面积（林产品流通型）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6.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经营总面积（森林生态旅游型）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7.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办公面积（林业服务型）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m2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20"/>
                <w:sz w:val="24"/>
                <w:szCs w:val="24"/>
              </w:rPr>
              <w:t>六、企业竞争力指标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——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.“守合同、重信用”证书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质量管理体系认证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职业安全与卫生管理体系认证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环保达标评定证明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5.森林认证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6.市级林业龙头企业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省著名商标或国家驰名商标数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被省、部级认定的高科技企业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级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9.获得省、部级名牌产品或优质奖数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10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开发新产品或创新管理、创新技术、创新服务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11.获得商标数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12.获得专利数或植物新品种权证数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企业执行或制定并实行的国家或地方、行业的规范、标准、规程数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 xml:space="preserve"> 森林生态标志产品、林（农）产品产地、有机产品、绿色食品、无公害产品等证明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 xml:space="preserve">. 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风景旅游区等级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 xml:space="preserve">. 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能吸引游客的特色项目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7</w:t>
            </w:r>
            <w:r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  <w:t xml:space="preserve">. 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企业的资质证书（林业服务业）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9061" w:type="dxa"/>
            <w:gridSpan w:val="9"/>
            <w:vAlign w:val="top"/>
          </w:tcPr>
          <w:p>
            <w:pPr>
              <w:spacing w:line="59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企业简介（可另加附页）：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4530" w:type="dxa"/>
            <w:gridSpan w:val="2"/>
            <w:vAlign w:val="top"/>
          </w:tcPr>
          <w:p>
            <w:pPr>
              <w:spacing w:line="59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县（市、区）林业主管部门意见：</w:t>
            </w:r>
          </w:p>
        </w:tc>
        <w:tc>
          <w:tcPr>
            <w:tcW w:w="4531" w:type="dxa"/>
            <w:gridSpan w:val="7"/>
            <w:vAlign w:val="top"/>
          </w:tcPr>
          <w:p>
            <w:pPr>
              <w:spacing w:line="59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地级以上市林业主管部门意见：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061" w:type="dxa"/>
            <w:gridSpan w:val="9"/>
            <w:vAlign w:val="top"/>
          </w:tcPr>
          <w:p>
            <w:pPr>
              <w:spacing w:line="59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省林业局意见：</w:t>
            </w:r>
          </w:p>
        </w:tc>
      </w:tr>
    </w:tbl>
    <w:p>
      <w:pPr>
        <w:spacing w:line="320" w:lineRule="exact"/>
        <w:ind w:left="1235" w:hanging="1236" w:hangingChars="60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指标解释：1.企业类型：林产品生产型、林产品加工型、林产品流通型、森林生态旅游型、林业服务型</w:t>
      </w:r>
    </w:p>
    <w:p>
      <w:pPr>
        <w:spacing w:line="320" w:lineRule="exact"/>
        <w:ind w:left="1203" w:leftChars="484" w:hanging="206" w:hangingChars="10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2.企业性质：国有企业、民营企业、外资企业（独资、合资）</w:t>
      </w:r>
    </w:p>
    <w:p>
      <w:pPr>
        <w:spacing w:line="320" w:lineRule="exact"/>
        <w:ind w:firstLine="1020" w:firstLineChars="495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3.销售收入是指当年企业实现的销售收入总额。</w:t>
      </w:r>
    </w:p>
    <w:p>
      <w:pPr>
        <w:spacing w:line="320" w:lineRule="exact"/>
        <w:ind w:firstLine="1020" w:firstLineChars="495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4.交易额是指全年进场交易的各类产品成交额之和。</w:t>
      </w:r>
    </w:p>
    <w:p>
      <w:pPr>
        <w:spacing w:line="320" w:lineRule="exact"/>
        <w:ind w:firstLine="1020" w:firstLineChars="495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5.实际利用外资额度是指外商对企业投资的实际资金数额。</w:t>
      </w:r>
    </w:p>
    <w:p>
      <w:pPr>
        <w:spacing w:line="320" w:lineRule="exact"/>
        <w:ind w:firstLine="1020" w:firstLineChars="495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6.合同关系是指以合同、订单等契约方式向农户收购林产品、提供生产资料等，合同</w:t>
      </w:r>
    </w:p>
    <w:p>
      <w:pPr>
        <w:spacing w:line="320" w:lineRule="exact"/>
        <w:ind w:firstLine="1020" w:firstLineChars="495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双方具有明确的权利、义务关系，合同具有法律效力。</w:t>
      </w:r>
    </w:p>
    <w:p>
      <w:pPr>
        <w:spacing w:line="320" w:lineRule="exact"/>
        <w:ind w:firstLine="1020" w:firstLineChars="495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7.合作方式按利润返还是指企业将林副产品加工、运输等增值的一部利润</w:t>
      </w:r>
    </w:p>
    <w:p>
      <w:pPr>
        <w:spacing w:line="320" w:lineRule="exact"/>
        <w:ind w:firstLine="1020" w:firstLineChars="495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/>
          <w:color w:val="000000"/>
          <w:szCs w:val="21"/>
        </w:rPr>
        <w:t xml:space="preserve"> </w:t>
      </w:r>
      <w:r>
        <w:rPr>
          <w:rFonts w:hint="eastAsia" w:ascii="仿宋_GB2312" w:eastAsia="仿宋_GB2312"/>
          <w:color w:val="000000"/>
          <w:szCs w:val="21"/>
        </w:rPr>
        <w:t>按一定的方式（如按交易量）返还给农户,也包括实行二次分配。</w:t>
      </w:r>
    </w:p>
    <w:p>
      <w:pPr>
        <w:spacing w:line="320" w:lineRule="exact"/>
        <w:ind w:firstLine="1024" w:firstLineChars="497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8.股份合作方式按股份分红是指按股金比例进行利润分红。</w:t>
      </w:r>
    </w:p>
    <w:p>
      <w:pPr>
        <w:spacing w:line="320" w:lineRule="exact"/>
        <w:ind w:firstLine="1024" w:firstLineChars="497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9.带动农户增收是指带动的农户比从事其他生产或不参加产业化生</w:t>
      </w:r>
    </w:p>
    <w:p>
      <w:pPr>
        <w:spacing w:line="320" w:lineRule="exact"/>
        <w:ind w:firstLine="1230" w:firstLineChars="597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产当年多增加的收入。</w:t>
      </w:r>
    </w:p>
    <w:p>
      <w:pPr>
        <w:spacing w:line="320" w:lineRule="exact"/>
        <w:ind w:firstLine="923" w:firstLineChars="448"/>
        <w:rPr>
          <w:rFonts w:ascii="仿宋_GB2312" w:hAnsi="黑体" w:eastAsia="仿宋_GB2312"/>
          <w:snapToGrid w:val="0"/>
          <w:color w:val="000000"/>
          <w:kern w:val="0"/>
          <w:szCs w:val="32"/>
        </w:rPr>
      </w:pPr>
      <w:r>
        <w:rPr>
          <w:rFonts w:hint="eastAsia" w:ascii="仿宋_GB2312" w:eastAsia="仿宋_GB2312"/>
          <w:color w:val="000000"/>
          <w:szCs w:val="21"/>
        </w:rPr>
        <w:t>注：表内平衡关系</w:t>
      </w:r>
      <w:r>
        <w:rPr>
          <w:rFonts w:hint="eastAsia" w:ascii="仿宋_GB2312" w:hAnsi="宋体" w:eastAsia="仿宋_GB2312"/>
          <w:color w:val="000000"/>
          <w:szCs w:val="21"/>
        </w:rPr>
        <w:t>21=22+23+24+25，27=26/21×10000。</w:t>
      </w:r>
    </w:p>
    <w:p>
      <w:pPr>
        <w:adjustRightInd w:val="0"/>
        <w:snapToGrid w:val="0"/>
        <w:spacing w:line="590" w:lineRule="exact"/>
        <w:ind w:firstLine="412" w:firstLineChars="200"/>
        <w:rPr>
          <w:rFonts w:ascii="仿宋_GB2312" w:hAnsi="黑体" w:eastAsia="仿宋_GB2312"/>
          <w:snapToGrid w:val="0"/>
          <w:color w:val="000000"/>
          <w:kern w:val="0"/>
          <w:szCs w:val="32"/>
        </w:rPr>
        <w:sectPr>
          <w:footerReference r:id="rId3" w:type="default"/>
          <w:pgSz w:w="11906" w:h="16838" w:orient="landscape"/>
          <w:pgMar w:top="1871" w:right="1531" w:bottom="1871" w:left="1531" w:header="851" w:footer="1418" w:gutter="0"/>
          <w:cols w:space="720" w:num="1"/>
          <w:docGrid w:type="linesAndChars" w:linePitch="595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560" w:hanging="560"/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ind w:left="560" w:hanging="560"/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B496E"/>
    <w:rsid w:val="34CB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码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2018-12-19T03:16:00Z</dcterms:created>
  <dc:creator>黄丽莉</dc:creator>
  <cp:lastModifiedBy>黄丽莉</cp:lastModifiedBy>
  <dcterms:modified xsi:type="dcterms:W3CDTF">2018-12-19T03:16:35Z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