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江门市两轮摩托车产品质量监督抽查实施细则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一、</w:t>
      </w:r>
      <w:r>
        <w:rPr>
          <w:rFonts w:hint="eastAsia" w:ascii="黑体" w:hAnsi="宋体" w:eastAsia="黑体"/>
          <w:szCs w:val="21"/>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宋体" w:hAnsi="宋体"/>
          <w:szCs w:val="21"/>
        </w:rPr>
      </w:pPr>
      <w:r>
        <w:rPr>
          <w:rFonts w:hint="eastAsia" w:asciiTheme="minorEastAsia" w:hAnsiTheme="minorEastAsia" w:eastAsiaTheme="minorEastAsia"/>
          <w:szCs w:val="21"/>
        </w:rPr>
        <w:t>每批次产品抽取两轮摩托车样品2辆，其中1辆作为检验样品，1辆作为备用样品,</w:t>
      </w:r>
      <w:r>
        <w:rPr>
          <w:rFonts w:hint="eastAsia" w:ascii="宋体" w:hAnsi="宋体" w:cs="Sim Sun"/>
          <w:kern w:val="0"/>
          <w:szCs w:val="21"/>
        </w:rPr>
        <w:t xml:space="preserve"> 抽取的样车要包括后视镜、蓄电池等附件（电动摩托车应包括与该车型匹配的充电器）、加注机油，并随带该车型的生产合格证、使用说明书。</w:t>
      </w:r>
      <w:r>
        <w:rPr>
          <w:rFonts w:hint="eastAsia"/>
          <w:szCs w:val="21"/>
        </w:rPr>
        <w:t>同时提交经备案的产品企业标准和</w:t>
      </w:r>
      <w:r>
        <w:rPr>
          <w:rFonts w:hint="eastAsia" w:ascii="宋体" w:hAnsi="宋体"/>
          <w:szCs w:val="21"/>
        </w:rPr>
        <w:t>产品定型试验报告（包括扩展的基本车型的定型试验报告）</w:t>
      </w:r>
      <w:r>
        <w:rPr>
          <w:rFonts w:hint="eastAsia" w:asciiTheme="minorEastAsia" w:hAnsiTheme="minorEastAsia" w:eastAsiaTheme="minorEastAsia"/>
          <w:szCs w:val="21"/>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在生产者的待销产品中抽取时：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宋体" w:hAnsi="宋体"/>
          <w:szCs w:val="21"/>
        </w:rPr>
      </w:pPr>
      <w:r>
        <w:rPr>
          <w:rFonts w:hint="eastAsia" w:asciiTheme="minorEastAsia" w:hAnsiTheme="minorEastAsia" w:eastAsiaTheme="minorEastAsia"/>
          <w:szCs w:val="21"/>
        </w:rPr>
        <w:t>每批次产品抽取摩托车发动机样品2台，其中1台作为检验样品，1台作为备用样品，每台摩托车发动机样品应配备空气滤清器、喷油器及其安装附件、摩托车电缆总成、点火器、点火线圈、排汽消声器及其安装附件、起动杆、变档杆、二次补气阀，整流器等相关附件各1套，机油2瓶,</w:t>
      </w:r>
      <w:r>
        <w:rPr>
          <w:rFonts w:hint="eastAsia"/>
          <w:szCs w:val="21"/>
        </w:rPr>
        <w:t>同时提交经备案的产品企业标准和</w:t>
      </w:r>
      <w:r>
        <w:rPr>
          <w:rFonts w:hint="eastAsia" w:ascii="宋体" w:hAnsi="宋体"/>
          <w:szCs w:val="21"/>
        </w:rPr>
        <w:t>产品定型试验报告（包括扩展的基本车型的定型试验报告）</w:t>
      </w:r>
      <w:r>
        <w:rPr>
          <w:rFonts w:hint="eastAsia" w:asciiTheme="minorEastAsia" w:hAnsiTheme="minorEastAsia" w:eastAsiaTheme="minorEastAsia"/>
          <w:szCs w:val="21"/>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每批次产品抽取前照灯样品12只，其中6只作为检验样品，6只作为备用样品；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每批次产品抽取侧回复反射器样品12只，其中6只作为检验样品，6只作为备用样品；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每批次产品抽取后视镜样品6套，其中3套作为检验样品，3套作为备用样品，每套左右各一个，应配置安装支架等附件。</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黑体" w:hAnsi="宋体" w:eastAsia="黑体"/>
          <w:szCs w:val="21"/>
        </w:rPr>
      </w:pPr>
      <w:r>
        <w:rPr>
          <w:rFonts w:hint="eastAsia" w:ascii="黑体" w:hAnsi="宋体" w:eastAsia="黑体"/>
          <w:szCs w:val="21"/>
          <w:lang w:val="en-US" w:eastAsia="zh-CN"/>
        </w:rPr>
        <w:t>二、</w:t>
      </w:r>
      <w:r>
        <w:rPr>
          <w:rFonts w:hint="eastAsia" w:ascii="黑体" w:hAnsi="宋体" w:eastAsia="黑体"/>
          <w:szCs w:val="21"/>
        </w:rPr>
        <w:t>主要检验项目及检验项目属性划分</w:t>
      </w:r>
    </w:p>
    <w:tbl>
      <w:tblPr>
        <w:tblStyle w:val="7"/>
        <w:tblW w:w="8411"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5"/>
        <w:gridCol w:w="906"/>
        <w:gridCol w:w="1234"/>
        <w:gridCol w:w="2716"/>
        <w:gridCol w:w="584"/>
        <w:gridCol w:w="600"/>
        <w:gridCol w:w="516"/>
        <w:gridCol w:w="634"/>
        <w:gridCol w:w="5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0" w:hRule="atLeast"/>
          <w:tblHeader/>
          <w:jc w:val="center"/>
        </w:trPr>
        <w:tc>
          <w:tcPr>
            <w:tcW w:w="655" w:type="dxa"/>
            <w:shd w:val="clear" w:color="auto" w:fill="auto"/>
            <w:vAlign w:val="center"/>
          </w:tcPr>
          <w:p>
            <w:pPr>
              <w:adjustRightInd w:val="0"/>
              <w:snapToGrid w:val="0"/>
              <w:jc w:val="center"/>
              <w:rPr>
                <w:szCs w:val="21"/>
              </w:rPr>
            </w:pPr>
            <w:bookmarkStart w:id="0" w:name="_GoBack"/>
            <w:r>
              <w:rPr>
                <w:szCs w:val="21"/>
              </w:rPr>
              <w:t>序号</w:t>
            </w:r>
          </w:p>
        </w:tc>
        <w:tc>
          <w:tcPr>
            <w:tcW w:w="2140" w:type="dxa"/>
            <w:gridSpan w:val="2"/>
            <w:shd w:val="clear" w:color="auto" w:fill="auto"/>
            <w:vAlign w:val="center"/>
          </w:tcPr>
          <w:p>
            <w:pPr>
              <w:adjustRightInd w:val="0"/>
              <w:snapToGrid w:val="0"/>
              <w:jc w:val="center"/>
              <w:rPr>
                <w:szCs w:val="21"/>
              </w:rPr>
            </w:pPr>
            <w:r>
              <w:rPr>
                <w:szCs w:val="21"/>
              </w:rPr>
              <w:t>检验项目</w:t>
            </w:r>
          </w:p>
        </w:tc>
        <w:tc>
          <w:tcPr>
            <w:tcW w:w="2716" w:type="dxa"/>
            <w:shd w:val="clear" w:color="auto" w:fill="auto"/>
            <w:vAlign w:val="center"/>
          </w:tcPr>
          <w:p>
            <w:pPr>
              <w:adjustRightInd w:val="0"/>
              <w:snapToGrid w:val="0"/>
              <w:jc w:val="center"/>
              <w:rPr>
                <w:szCs w:val="21"/>
              </w:rPr>
            </w:pPr>
            <w:r>
              <w:rPr>
                <w:szCs w:val="21"/>
              </w:rPr>
              <w:t>检验方法</w:t>
            </w:r>
          </w:p>
        </w:tc>
        <w:tc>
          <w:tcPr>
            <w:tcW w:w="584" w:type="dxa"/>
            <w:shd w:val="clear" w:color="auto" w:fill="auto"/>
            <w:vAlign w:val="center"/>
          </w:tcPr>
          <w:p>
            <w:pPr>
              <w:adjustRightInd w:val="0"/>
              <w:snapToGrid w:val="0"/>
              <w:jc w:val="center"/>
              <w:rPr>
                <w:szCs w:val="21"/>
              </w:rPr>
            </w:pPr>
            <w:r>
              <w:rPr>
                <w:szCs w:val="21"/>
              </w:rPr>
              <w:t>强制性</w:t>
            </w:r>
          </w:p>
        </w:tc>
        <w:tc>
          <w:tcPr>
            <w:tcW w:w="600" w:type="dxa"/>
            <w:shd w:val="clear" w:color="auto" w:fill="auto"/>
            <w:vAlign w:val="center"/>
          </w:tcPr>
          <w:p>
            <w:pPr>
              <w:adjustRightInd w:val="0"/>
              <w:snapToGrid w:val="0"/>
              <w:jc w:val="center"/>
              <w:rPr>
                <w:szCs w:val="21"/>
              </w:rPr>
            </w:pPr>
            <w:r>
              <w:rPr>
                <w:szCs w:val="21"/>
              </w:rPr>
              <w:t>非强</w:t>
            </w:r>
          </w:p>
          <w:p>
            <w:pPr>
              <w:adjustRightInd w:val="0"/>
              <w:snapToGrid w:val="0"/>
              <w:jc w:val="center"/>
              <w:rPr>
                <w:szCs w:val="21"/>
              </w:rPr>
            </w:pPr>
            <w:r>
              <w:rPr>
                <w:szCs w:val="21"/>
              </w:rPr>
              <w:t>制性</w:t>
            </w:r>
          </w:p>
        </w:tc>
        <w:tc>
          <w:tcPr>
            <w:tcW w:w="516" w:type="dxa"/>
            <w:shd w:val="clear" w:color="auto" w:fill="auto"/>
            <w:vAlign w:val="center"/>
          </w:tcPr>
          <w:p>
            <w:pPr>
              <w:adjustRightInd w:val="0"/>
              <w:snapToGrid w:val="0"/>
              <w:jc w:val="center"/>
              <w:rPr>
                <w:szCs w:val="21"/>
              </w:rPr>
            </w:pPr>
            <w:r>
              <w:rPr>
                <w:szCs w:val="21"/>
              </w:rPr>
              <w:t>重要项</w:t>
            </w:r>
          </w:p>
        </w:tc>
        <w:tc>
          <w:tcPr>
            <w:tcW w:w="634" w:type="dxa"/>
            <w:shd w:val="clear" w:color="auto" w:fill="auto"/>
            <w:vAlign w:val="center"/>
          </w:tcPr>
          <w:p>
            <w:pPr>
              <w:adjustRightInd w:val="0"/>
              <w:snapToGrid w:val="0"/>
              <w:jc w:val="center"/>
              <w:rPr>
                <w:szCs w:val="21"/>
              </w:rPr>
            </w:pPr>
            <w:r>
              <w:rPr>
                <w:szCs w:val="21"/>
              </w:rPr>
              <w:t>较重</w:t>
            </w:r>
          </w:p>
          <w:p>
            <w:pPr>
              <w:adjustRightInd w:val="0"/>
              <w:snapToGrid w:val="0"/>
              <w:jc w:val="center"/>
              <w:rPr>
                <w:szCs w:val="21"/>
              </w:rPr>
            </w:pPr>
            <w:r>
              <w:rPr>
                <w:szCs w:val="21"/>
              </w:rPr>
              <w:t>要项</w:t>
            </w:r>
          </w:p>
        </w:tc>
        <w:tc>
          <w:tcPr>
            <w:tcW w:w="566" w:type="dxa"/>
            <w:shd w:val="clear" w:color="auto" w:fill="auto"/>
            <w:vAlign w:val="center"/>
          </w:tcPr>
          <w:p>
            <w:pPr>
              <w:adjustRightInd w:val="0"/>
              <w:snapToGrid w:val="0"/>
              <w:jc w:val="center"/>
              <w:rPr>
                <w:szCs w:val="21"/>
              </w:rPr>
            </w:pPr>
            <w:r>
              <w:rPr>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1</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整车标志</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7258-2017中条款4.1.1、4.1.2、 4.1.3、4.1.4</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2</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车辆识别代号（VIN）</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16735-2019</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3</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安全防护装置</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7258-2017中条款12.2.1、12.2.5、12.2.7、12.5.1、12.5.2、12.5.4</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4</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操纵件、指示器及信号装置的图形符号</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15365-2008和GB 7258-2017中条款4.7.3</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5</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车速表指示误差值</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7258-2017中条款4.11</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6</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转向装置</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7258-2017中条款6.2、6.6、6.12</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1"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7</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装于摩托车上的喇叭</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的性能要求</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15742-2019中条款</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4.1.2、4.2</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8</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排气污染物排放</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(双怠速法)</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14622-2016附录D</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65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9</w:t>
            </w:r>
          </w:p>
        </w:tc>
        <w:tc>
          <w:tcPr>
            <w:tcW w:w="90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排气污染物排放(工况法)</w:t>
            </w:r>
          </w:p>
        </w:tc>
        <w:tc>
          <w:tcPr>
            <w:tcW w:w="12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Ⅰ型试验</w:t>
            </w:r>
          </w:p>
        </w:tc>
        <w:tc>
          <w:tcPr>
            <w:tcW w:w="2716" w:type="dxa"/>
            <w:vMerge w:val="restart"/>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14622-2016附录C</w:t>
            </w:r>
          </w:p>
        </w:tc>
        <w:tc>
          <w:tcPr>
            <w:tcW w:w="584" w:type="dxa"/>
            <w:vMerge w:val="restart"/>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vMerge w:val="restart"/>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vMerge w:val="restart"/>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vMerge w:val="restart"/>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vMerge w:val="restart"/>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3" w:hRule="atLeast"/>
          <w:jc w:val="center"/>
        </w:trPr>
        <w:tc>
          <w:tcPr>
            <w:tcW w:w="65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p>
        </w:tc>
        <w:tc>
          <w:tcPr>
            <w:tcW w:w="90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p>
        </w:tc>
        <w:tc>
          <w:tcPr>
            <w:tcW w:w="12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1000km磨合</w:t>
            </w:r>
          </w:p>
        </w:tc>
        <w:tc>
          <w:tcPr>
            <w:tcW w:w="2716" w:type="dxa"/>
            <w:vMerge w:val="continue"/>
            <w:shd w:val="clear" w:color="auto" w:fill="auto"/>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kern w:val="0"/>
                <w:szCs w:val="21"/>
              </w:rPr>
            </w:pPr>
          </w:p>
        </w:tc>
        <w:tc>
          <w:tcPr>
            <w:tcW w:w="584" w:type="dxa"/>
            <w:vMerge w:val="continue"/>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00" w:type="dxa"/>
            <w:vMerge w:val="continue"/>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vMerge w:val="continue"/>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34" w:type="dxa"/>
            <w:vMerge w:val="continue"/>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vMerge w:val="continue"/>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1"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10</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燃油蒸发污染物排放</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 14622-2016附录E</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发动机最大扭矩和最大净功率</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GB/T 20076-2006中条款</w:t>
            </w:r>
          </w:p>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3、4、6.2</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前照灯配光性能</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G</w:t>
            </w:r>
            <w:r>
              <w:rPr>
                <w:rFonts w:hint="eastAsia" w:asciiTheme="minorEastAsia" w:hAnsiTheme="minorEastAsia" w:eastAsiaTheme="minorEastAsia" w:cstheme="minorEastAsia"/>
                <w:szCs w:val="21"/>
              </w:rPr>
              <w:t>B 5948-1998中条款4.2、4.3、5、6.3/</w:t>
            </w:r>
          </w:p>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GB 19152-2016 5.7、6、7.2</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8"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侧回复反射器</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GB 11564-2008中条款4.2、4.4、5、6.2.2.3</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jc w:val="center"/>
        </w:trPr>
        <w:tc>
          <w:tcPr>
            <w:tcW w:w="655"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14</w:t>
            </w:r>
          </w:p>
        </w:tc>
        <w:tc>
          <w:tcPr>
            <w:tcW w:w="2140" w:type="dxa"/>
            <w:gridSpan w:val="2"/>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整车辐射骚扰</w:t>
            </w:r>
          </w:p>
        </w:tc>
        <w:tc>
          <w:tcPr>
            <w:tcW w:w="2716"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34660-2017中条款4.2、4.3</w:t>
            </w:r>
          </w:p>
        </w:tc>
        <w:tc>
          <w:tcPr>
            <w:tcW w:w="584" w:type="dxa"/>
            <w:tcBorders>
              <w:bottom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tcBorders>
              <w:bottom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tcBorders>
              <w:bottom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tcBorders>
              <w:bottom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tcBorders>
              <w:bottom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jc w:val="center"/>
        </w:trPr>
        <w:tc>
          <w:tcPr>
            <w:tcW w:w="655" w:type="dxa"/>
            <w:tcBorders>
              <w:top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2140" w:type="dxa"/>
            <w:gridSpan w:val="2"/>
            <w:tcBorders>
              <w:top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整车辐射场抗扰度</w:t>
            </w:r>
          </w:p>
        </w:tc>
        <w:tc>
          <w:tcPr>
            <w:tcW w:w="2716" w:type="dxa"/>
            <w:tcBorders>
              <w:top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34660-2017中条款4.2、5.4</w:t>
            </w:r>
          </w:p>
        </w:tc>
        <w:tc>
          <w:tcPr>
            <w:tcW w:w="584" w:type="dxa"/>
            <w:tcBorders>
              <w:top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tcBorders>
              <w:top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tcBorders>
              <w:top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tcBorders>
              <w:top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tcBorders>
              <w:top w:val="single" w:color="auto" w:sz="4" w:space="0"/>
            </w:tcBorders>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4"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后视镜性能和安装要求</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GB 17352-2010中条款4.1、4.2、4.3.2、4.3.3、4.3.4、4.4、5</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7" w:hRule="atLeast"/>
          <w:jc w:val="center"/>
        </w:trPr>
        <w:tc>
          <w:tcPr>
            <w:tcW w:w="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21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制动性能</w:t>
            </w:r>
          </w:p>
        </w:tc>
        <w:tc>
          <w:tcPr>
            <w:tcW w:w="2716" w:type="dxa"/>
            <w:shd w:val="clear" w:color="auto" w:fill="auto"/>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GB 20073-2018</w:t>
            </w:r>
          </w:p>
        </w:tc>
        <w:tc>
          <w:tcPr>
            <w:tcW w:w="58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00"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1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34"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566" w:type="dxa"/>
            <w:shd w:val="clear" w:color="auto" w:fill="auto"/>
            <w:vAlign w:val="center"/>
          </w:tcPr>
          <w:p>
            <w:pPr>
              <w:pStyle w:val="18"/>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7" w:hRule="atLeast"/>
          <w:jc w:val="center"/>
        </w:trPr>
        <w:tc>
          <w:tcPr>
            <w:tcW w:w="8411" w:type="dxa"/>
            <w:gridSpan w:val="9"/>
            <w:shd w:val="clear" w:color="auto" w:fill="auto"/>
            <w:vAlign w:val="center"/>
          </w:tcPr>
          <w:p>
            <w:pPr>
              <w:spacing w:line="320" w:lineRule="exact"/>
              <w:rPr>
                <w:rFonts w:ascii="宋体" w:hAnsi="宋体" w:cs="宋体"/>
                <w:szCs w:val="21"/>
              </w:rPr>
            </w:pPr>
            <w:r>
              <w:rPr>
                <w:rFonts w:hint="eastAsia" w:ascii="宋体" w:hAnsi="宋体" w:cs="宋体"/>
                <w:szCs w:val="21"/>
              </w:rPr>
              <w:t>备注：1、电驱动的两轮摩托车不检序号8-11的项目。</w:t>
            </w:r>
          </w:p>
          <w:p>
            <w:pPr>
              <w:spacing w:line="320" w:lineRule="exact"/>
              <w:ind w:firstLine="630" w:firstLineChars="300"/>
              <w:rPr>
                <w:rFonts w:eastAsia="仿宋"/>
                <w:szCs w:val="21"/>
              </w:rPr>
            </w:pPr>
            <w:r>
              <w:rPr>
                <w:rFonts w:hint="eastAsia" w:ascii="宋体" w:hAnsi="宋体" w:cs="宋体"/>
                <w:szCs w:val="21"/>
              </w:rPr>
              <w:t>2、在销售者的待销产品中抽取时，不检序号11、12、13、16的项目。</w:t>
            </w:r>
          </w:p>
        </w:tc>
      </w:tr>
      <w:bookmarkEnd w:id="0"/>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rPr>
      </w:pPr>
      <w:r>
        <w:rPr>
          <w:rFonts w:hint="eastAsia" w:ascii="宋体" w:hAnsi="宋体"/>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pacing w:line="440" w:lineRule="exact"/>
        <w:ind w:left="0" w:leftChars="0" w:firstLine="420" w:firstLineChars="200"/>
        <w:textAlignment w:val="auto"/>
        <w:rPr>
          <w:rFonts w:hint="eastAsia" w:ascii="黑体" w:hAnsi="黑体" w:eastAsia="黑体"/>
          <w:szCs w:val="21"/>
          <w:lang w:val="en-US" w:eastAsia="zh-CN"/>
        </w:rPr>
      </w:pPr>
    </w:p>
    <w:p>
      <w:pPr>
        <w:keepNext w:val="0"/>
        <w:keepLines w:val="0"/>
        <w:pageBreakBefore w:val="0"/>
        <w:widowControl w:val="0"/>
        <w:kinsoku/>
        <w:wordWrap/>
        <w:overflowPunct/>
        <w:topLinePunct w:val="0"/>
        <w:autoSpaceDE/>
        <w:autoSpaceDN/>
        <w:bidi w:val="0"/>
        <w:adjustRightInd/>
        <w:spacing w:line="440" w:lineRule="exact"/>
        <w:ind w:left="0" w:leftChars="0" w:firstLine="420" w:firstLineChars="200"/>
        <w:textAlignment w:val="auto"/>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ascii="宋体" w:hAnsi="宋体"/>
          <w:szCs w:val="21"/>
        </w:rPr>
        <w:t>依据标准</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 xml:space="preserve">GB </w:t>
      </w:r>
      <w:r>
        <w:rPr>
          <w:rFonts w:ascii="宋体" w:hAnsi="宋体"/>
          <w:szCs w:val="21"/>
        </w:rPr>
        <w:t>7258-2017</w:t>
      </w:r>
      <w:r>
        <w:rPr>
          <w:rFonts w:hint="eastAsia" w:ascii="宋体" w:hAnsi="宋体"/>
          <w:szCs w:val="21"/>
        </w:rPr>
        <w:t>《机动车运行安全技术条件》</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GB 16735-2</w:t>
      </w:r>
      <w:r>
        <w:rPr>
          <w:rFonts w:hint="eastAsia" w:ascii="宋体" w:hAnsi="宋体"/>
          <w:szCs w:val="21"/>
        </w:rPr>
        <w:t>019《道路车辆车辆识别代号</w:t>
      </w:r>
      <w:r>
        <w:rPr>
          <w:rFonts w:ascii="宋体" w:hAnsi="宋体"/>
          <w:szCs w:val="21"/>
        </w:rPr>
        <w:t>(VIN)</w:t>
      </w:r>
      <w:r>
        <w:rPr>
          <w:rFonts w:hint="eastAsia" w:ascii="宋体" w:hAnsi="宋体"/>
          <w:szCs w:val="21"/>
        </w:rPr>
        <w:t>》</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GB 15365-2008</w:t>
      </w:r>
      <w:r>
        <w:rPr>
          <w:rFonts w:hint="eastAsia" w:ascii="宋体" w:hAnsi="宋体"/>
          <w:szCs w:val="21"/>
        </w:rPr>
        <w:t>《摩托车和轻便摩托车操纵件、指示器及信号装置的图形符号》</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GB 15742-20</w:t>
      </w:r>
      <w:r>
        <w:rPr>
          <w:rFonts w:hint="eastAsia" w:ascii="宋体" w:hAnsi="宋体"/>
          <w:szCs w:val="21"/>
        </w:rPr>
        <w:t>19《机动车用喇叭的性能要求及试验方法》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GB 14622-20</w:t>
      </w:r>
      <w:r>
        <w:rPr>
          <w:rFonts w:hint="eastAsia" w:ascii="宋体" w:hAnsi="宋体"/>
          <w:szCs w:val="21"/>
        </w:rPr>
        <w:t>16《</w:t>
      </w:r>
      <w:r>
        <w:rPr>
          <w:rFonts w:ascii="宋体" w:hAnsi="宋体"/>
          <w:szCs w:val="21"/>
        </w:rPr>
        <w:t>摩托车污染物排放限值及测量方法(中国第四阶段)</w:t>
      </w:r>
      <w:r>
        <w:rPr>
          <w:rFonts w:hint="eastAsia" w:ascii="宋体" w:hAnsi="宋体"/>
          <w:szCs w:val="21"/>
        </w:rPr>
        <w:t>》</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 xml:space="preserve">GB 5948-1998 </w:t>
      </w:r>
      <w:r>
        <w:rPr>
          <w:rFonts w:hint="eastAsia" w:ascii="宋体" w:hAnsi="宋体"/>
          <w:szCs w:val="21"/>
        </w:rPr>
        <w:t>《摩托车白炽丝光源前照灯配光性能》</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GB 19152-2016</w:t>
      </w:r>
      <w:r>
        <w:fldChar w:fldCharType="begin"/>
      </w:r>
      <w:r>
        <w:instrText xml:space="preserve"> HYPERLINK "http://www.baidu.com/link?url=k8-yoU3A6vmuDgJgA3E40hhElvCNsV8KWu2u2vtwFhg8WxOs0UhNWM00P6Lczg9R" \t "_blank" </w:instrText>
      </w:r>
      <w:r>
        <w:fldChar w:fldCharType="separate"/>
      </w:r>
      <w:r>
        <w:rPr>
          <w:rFonts w:ascii="宋体" w:hAnsi="宋体"/>
          <w:szCs w:val="21"/>
        </w:rPr>
        <w:t> </w:t>
      </w:r>
      <w:r>
        <w:rPr>
          <w:rFonts w:hint="eastAsia" w:ascii="宋体" w:hAnsi="宋体"/>
          <w:szCs w:val="21"/>
        </w:rPr>
        <w:t>《</w:t>
      </w:r>
      <w:r>
        <w:rPr>
          <w:rFonts w:ascii="宋体" w:hAnsi="宋体"/>
          <w:szCs w:val="21"/>
        </w:rPr>
        <w:t>发射对称近光和 或远光的机动车前照灯</w:t>
      </w:r>
      <w:r>
        <w:rPr>
          <w:rFonts w:ascii="宋体" w:hAnsi="宋体"/>
          <w:szCs w:val="21"/>
        </w:rPr>
        <w:fldChar w:fldCharType="end"/>
      </w:r>
      <w:r>
        <w:rPr>
          <w:rFonts w:hint="eastAsia" w:ascii="宋体" w:hAnsi="宋体"/>
          <w:szCs w:val="21"/>
        </w:rPr>
        <w:t>》</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 xml:space="preserve">GB 11564-2008 </w:t>
      </w:r>
      <w:r>
        <w:rPr>
          <w:rFonts w:hint="eastAsia" w:ascii="宋体" w:hAnsi="宋体"/>
          <w:szCs w:val="21"/>
        </w:rPr>
        <w:t>《机动车回复反射器》</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 xml:space="preserve">GB 17352-2010 </w:t>
      </w:r>
      <w:r>
        <w:rPr>
          <w:rFonts w:hint="eastAsia" w:ascii="宋体" w:hAnsi="宋体"/>
          <w:szCs w:val="21"/>
        </w:rPr>
        <w:t>《摩托车和轻便摩托车后视镜的性能和安装要求》</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GB 20073-2018 《</w:t>
      </w:r>
      <w:r>
        <w:fldChar w:fldCharType="begin"/>
      </w:r>
      <w:r>
        <w:instrText xml:space="preserve"> HYPERLINK "http://www.baidu.com/link?url=a6mcxva-zLKV4LauDpIypdaOYYFwpmGuC2G5QSsegXS9BFYwAbA5DLcZiY8-QI7hJ9-q4O-9zVOPdGzmuyvvua" \t "_blank" </w:instrText>
      </w:r>
      <w:r>
        <w:fldChar w:fldCharType="separate"/>
      </w:r>
      <w:r>
        <w:rPr>
          <w:rFonts w:ascii="宋体" w:hAnsi="宋体"/>
          <w:szCs w:val="21"/>
        </w:rPr>
        <w:t>摩托车和轻便摩托车制动性能要求及试验方法</w:t>
      </w:r>
      <w:r>
        <w:rPr>
          <w:rFonts w:ascii="宋体" w:hAnsi="宋体"/>
          <w:szCs w:val="21"/>
        </w:rPr>
        <w:fldChar w:fldCharType="end"/>
      </w:r>
      <w:r>
        <w:rPr>
          <w:rFonts w:hint="eastAsia" w:ascii="宋体" w:hAnsi="宋体"/>
          <w:szCs w:val="21"/>
        </w:rPr>
        <w:t>》</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 xml:space="preserve">GB/T 20076-2006 </w:t>
      </w:r>
      <w:r>
        <w:rPr>
          <w:rFonts w:hint="eastAsia" w:ascii="宋体" w:hAnsi="宋体"/>
          <w:szCs w:val="21"/>
        </w:rPr>
        <w:t>《摩托车和轻便摩托车发动机最大扭矩和最大净功率测量方法》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ascii="宋体" w:hAnsi="宋体"/>
          <w:szCs w:val="21"/>
        </w:rPr>
        <w:t xml:space="preserve">GB/T 5363-2008 </w:t>
      </w:r>
      <w:r>
        <w:rPr>
          <w:rFonts w:hint="eastAsia" w:ascii="宋体" w:hAnsi="宋体"/>
          <w:szCs w:val="21"/>
        </w:rPr>
        <w:t>《摩托车和轻便摩托车发动机台架试验方法》</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GB 34660-2017 《</w:t>
      </w:r>
      <w:r>
        <w:rPr>
          <w:rFonts w:ascii="宋体" w:hAnsi="宋体"/>
          <w:szCs w:val="21"/>
        </w:rPr>
        <w:t>道路车辆 电磁兼容性要求和试验方法</w:t>
      </w:r>
      <w:r>
        <w:rPr>
          <w:rFonts w:hint="eastAsia" w:ascii="宋体" w:hAnsi="宋体"/>
          <w:szCs w:val="21"/>
        </w:rPr>
        <w:t>》</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szCs w:val="21"/>
          <w:lang w:eastAsia="zh-CN"/>
        </w:rPr>
      </w:pPr>
      <w:r>
        <w:rPr>
          <w:rFonts w:hint="eastAsia" w:ascii="宋体" w:hAnsi="宋体"/>
          <w:szCs w:val="21"/>
        </w:rPr>
        <w:t>现行有效的企业标准和产品明示指标或其他相适应的产品标准</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产品定型试验报告（包括扩展的基本车型的定型试验报告）</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二</w:t>
      </w:r>
      <w:r>
        <w:rPr>
          <w:rFonts w:hint="eastAsia" w:ascii="宋体" w:hAnsi="宋体"/>
          <w:szCs w:val="21"/>
          <w:lang w:eastAsia="zh-CN"/>
        </w:rPr>
        <w:t>）</w:t>
      </w:r>
      <w:r>
        <w:rPr>
          <w:rFonts w:hint="eastAsia" w:ascii="宋体" w:hAnsi="宋体"/>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当被检样品明示的质量要求优于监督抽查实施细则中依据的标准要求时，应按被检样品明示的质量要求判定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当被检样品明示的质量要求劣于或不包含监督抽查实施细则中依据的强制性标准要求时，应按照强制性标准要求判定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当被检样品明示的质量要求劣于或包含监督抽查实施细则中依据的推荐性标准要求时，应以被检样品明示的质量要求判定，如相应检验结果不符合相关推荐性标准要求时，应在检验报告中予以说明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当被检样品明示的质量要求不包含监督抽查实施细则中依据的推荐性标准要求时，该指标不参与判定，但应在检验报告中作出说明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当被检样品未能提供有效的企业标准时，按相关国家或行业标准进行判定</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hint="eastAsia" w:ascii="宋体" w:hAnsi="宋体" w:eastAsia="宋体"/>
          <w:szCs w:val="21"/>
          <w:lang w:eastAsia="zh-CN"/>
        </w:rPr>
      </w:pPr>
      <w:r>
        <w:rPr>
          <w:rFonts w:hint="eastAsia" w:ascii="宋体" w:hAnsi="宋体"/>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20" w:firstLineChars="200"/>
        <w:textAlignment w:val="auto"/>
        <w:rPr>
          <w:rFonts w:ascii="宋体" w:hAnsi="宋体"/>
          <w:szCs w:val="21"/>
        </w:rPr>
      </w:pPr>
      <w:r>
        <w:rPr>
          <w:rFonts w:hint="eastAsia" w:ascii="宋体" w:hAnsi="宋体"/>
          <w:szCs w:val="21"/>
        </w:rPr>
        <w:t>检验中发现因样品失效或者其他原因致使检验无法进行的，检验人员应如实记录，并提供相关证明材料，报送组织监督抽查的市场监管部门。</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Sim Sun">
    <w:altName w:val="Arial Unicode MS"/>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5AED"/>
    <w:rsid w:val="0003610F"/>
    <w:rsid w:val="000367DE"/>
    <w:rsid w:val="000466DE"/>
    <w:rsid w:val="00051A44"/>
    <w:rsid w:val="00065282"/>
    <w:rsid w:val="00081CBD"/>
    <w:rsid w:val="000976DE"/>
    <w:rsid w:val="000F238C"/>
    <w:rsid w:val="00172A27"/>
    <w:rsid w:val="001809DD"/>
    <w:rsid w:val="001C73C8"/>
    <w:rsid w:val="001D3F42"/>
    <w:rsid w:val="001E45FA"/>
    <w:rsid w:val="001E6534"/>
    <w:rsid w:val="001F7503"/>
    <w:rsid w:val="00211261"/>
    <w:rsid w:val="00232530"/>
    <w:rsid w:val="0023606F"/>
    <w:rsid w:val="00240BAF"/>
    <w:rsid w:val="00253624"/>
    <w:rsid w:val="00283245"/>
    <w:rsid w:val="002C2EDA"/>
    <w:rsid w:val="002D7060"/>
    <w:rsid w:val="002D7F8A"/>
    <w:rsid w:val="002E0D1D"/>
    <w:rsid w:val="002E2EF8"/>
    <w:rsid w:val="0030366E"/>
    <w:rsid w:val="00306701"/>
    <w:rsid w:val="00307419"/>
    <w:rsid w:val="003203A3"/>
    <w:rsid w:val="00352295"/>
    <w:rsid w:val="00365CBE"/>
    <w:rsid w:val="00380BC2"/>
    <w:rsid w:val="00382E1F"/>
    <w:rsid w:val="0038698A"/>
    <w:rsid w:val="003872D6"/>
    <w:rsid w:val="003A7CDE"/>
    <w:rsid w:val="003A7D30"/>
    <w:rsid w:val="003B2DDA"/>
    <w:rsid w:val="003C388C"/>
    <w:rsid w:val="003E61BF"/>
    <w:rsid w:val="004104AC"/>
    <w:rsid w:val="00413A85"/>
    <w:rsid w:val="00445E86"/>
    <w:rsid w:val="00466ACE"/>
    <w:rsid w:val="00474E04"/>
    <w:rsid w:val="00491B5A"/>
    <w:rsid w:val="004A2D01"/>
    <w:rsid w:val="004A66D5"/>
    <w:rsid w:val="004B00EF"/>
    <w:rsid w:val="004B51FD"/>
    <w:rsid w:val="004D0C5A"/>
    <w:rsid w:val="004E1396"/>
    <w:rsid w:val="004E3259"/>
    <w:rsid w:val="005245BE"/>
    <w:rsid w:val="005544BD"/>
    <w:rsid w:val="00563EBC"/>
    <w:rsid w:val="0058431B"/>
    <w:rsid w:val="005F7B92"/>
    <w:rsid w:val="00614D5B"/>
    <w:rsid w:val="0063566D"/>
    <w:rsid w:val="00636F6C"/>
    <w:rsid w:val="00646922"/>
    <w:rsid w:val="00650368"/>
    <w:rsid w:val="006A1E3B"/>
    <w:rsid w:val="006B422C"/>
    <w:rsid w:val="006C1A51"/>
    <w:rsid w:val="006D1EFA"/>
    <w:rsid w:val="006E0C7B"/>
    <w:rsid w:val="006E1171"/>
    <w:rsid w:val="006F0971"/>
    <w:rsid w:val="0072334C"/>
    <w:rsid w:val="00725B38"/>
    <w:rsid w:val="00732F56"/>
    <w:rsid w:val="00750DFE"/>
    <w:rsid w:val="007511C1"/>
    <w:rsid w:val="007553CD"/>
    <w:rsid w:val="007607C6"/>
    <w:rsid w:val="007D334E"/>
    <w:rsid w:val="007D3CB3"/>
    <w:rsid w:val="007D571C"/>
    <w:rsid w:val="00824C73"/>
    <w:rsid w:val="0084371C"/>
    <w:rsid w:val="00860D98"/>
    <w:rsid w:val="008925D0"/>
    <w:rsid w:val="00895BEA"/>
    <w:rsid w:val="008A3497"/>
    <w:rsid w:val="008A718C"/>
    <w:rsid w:val="008B4316"/>
    <w:rsid w:val="008B7ADE"/>
    <w:rsid w:val="008C3CD3"/>
    <w:rsid w:val="008E1F6F"/>
    <w:rsid w:val="008E7822"/>
    <w:rsid w:val="00917A54"/>
    <w:rsid w:val="00931E49"/>
    <w:rsid w:val="00960D38"/>
    <w:rsid w:val="00965904"/>
    <w:rsid w:val="009B568C"/>
    <w:rsid w:val="009B7EFE"/>
    <w:rsid w:val="009E2F82"/>
    <w:rsid w:val="009F2545"/>
    <w:rsid w:val="009F5ACE"/>
    <w:rsid w:val="00A43553"/>
    <w:rsid w:val="00A765C2"/>
    <w:rsid w:val="00A81A28"/>
    <w:rsid w:val="00AA158D"/>
    <w:rsid w:val="00AA1AF9"/>
    <w:rsid w:val="00AA298F"/>
    <w:rsid w:val="00AC1BCA"/>
    <w:rsid w:val="00AC5391"/>
    <w:rsid w:val="00AD0B9F"/>
    <w:rsid w:val="00B333A4"/>
    <w:rsid w:val="00B33B79"/>
    <w:rsid w:val="00B62E7B"/>
    <w:rsid w:val="00B75CFF"/>
    <w:rsid w:val="00B92C57"/>
    <w:rsid w:val="00BA5F40"/>
    <w:rsid w:val="00BB30A5"/>
    <w:rsid w:val="00BC097F"/>
    <w:rsid w:val="00BC0A07"/>
    <w:rsid w:val="00BE2089"/>
    <w:rsid w:val="00BF2B8C"/>
    <w:rsid w:val="00BF4A64"/>
    <w:rsid w:val="00BF4F8C"/>
    <w:rsid w:val="00C03BEA"/>
    <w:rsid w:val="00C10F3B"/>
    <w:rsid w:val="00C20DD6"/>
    <w:rsid w:val="00C26074"/>
    <w:rsid w:val="00C315EA"/>
    <w:rsid w:val="00C72ACE"/>
    <w:rsid w:val="00C76BC7"/>
    <w:rsid w:val="00C83B0A"/>
    <w:rsid w:val="00C97F5C"/>
    <w:rsid w:val="00CA0410"/>
    <w:rsid w:val="00CA1ACE"/>
    <w:rsid w:val="00CC2DFB"/>
    <w:rsid w:val="00CC3A83"/>
    <w:rsid w:val="00CC72A9"/>
    <w:rsid w:val="00CE1E0C"/>
    <w:rsid w:val="00CE202B"/>
    <w:rsid w:val="00CE277E"/>
    <w:rsid w:val="00CF442E"/>
    <w:rsid w:val="00D01F0E"/>
    <w:rsid w:val="00D22024"/>
    <w:rsid w:val="00D25F82"/>
    <w:rsid w:val="00D50280"/>
    <w:rsid w:val="00D56867"/>
    <w:rsid w:val="00D61476"/>
    <w:rsid w:val="00D8267F"/>
    <w:rsid w:val="00D87B4F"/>
    <w:rsid w:val="00DC5690"/>
    <w:rsid w:val="00DD2C11"/>
    <w:rsid w:val="00DD5C43"/>
    <w:rsid w:val="00DE2A74"/>
    <w:rsid w:val="00DE5F11"/>
    <w:rsid w:val="00E02A7F"/>
    <w:rsid w:val="00E04B9C"/>
    <w:rsid w:val="00E07880"/>
    <w:rsid w:val="00E25835"/>
    <w:rsid w:val="00E31131"/>
    <w:rsid w:val="00E312C7"/>
    <w:rsid w:val="00E379D2"/>
    <w:rsid w:val="00E40E5B"/>
    <w:rsid w:val="00E67DCD"/>
    <w:rsid w:val="00E70616"/>
    <w:rsid w:val="00E82621"/>
    <w:rsid w:val="00E84B75"/>
    <w:rsid w:val="00ED5B7A"/>
    <w:rsid w:val="00ED72FD"/>
    <w:rsid w:val="00EF4319"/>
    <w:rsid w:val="00F013BE"/>
    <w:rsid w:val="00F24F6D"/>
    <w:rsid w:val="00F2603F"/>
    <w:rsid w:val="00F43F54"/>
    <w:rsid w:val="00F50137"/>
    <w:rsid w:val="00F525A6"/>
    <w:rsid w:val="00F56DBA"/>
    <w:rsid w:val="00F57E67"/>
    <w:rsid w:val="00F64407"/>
    <w:rsid w:val="00F75CDC"/>
    <w:rsid w:val="00F7641A"/>
    <w:rsid w:val="00F77C9A"/>
    <w:rsid w:val="00F83F0D"/>
    <w:rsid w:val="00FA22E9"/>
    <w:rsid w:val="00FB576C"/>
    <w:rsid w:val="00FC3215"/>
    <w:rsid w:val="00FD2AA6"/>
    <w:rsid w:val="00FD66D5"/>
    <w:rsid w:val="00FE7E8A"/>
    <w:rsid w:val="0176198E"/>
    <w:rsid w:val="106F535E"/>
    <w:rsid w:val="630752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1"/>
    <w:semiHidden/>
    <w:unhideWhenUsed/>
    <w:qFormat/>
    <w:uiPriority w:val="99"/>
    <w:rPr>
      <w:b/>
      <w:bCs/>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页脚 Char"/>
    <w:link w:val="4"/>
    <w:qFormat/>
    <w:uiPriority w:val="99"/>
    <w:rPr>
      <w:kern w:val="2"/>
      <w:sz w:val="18"/>
      <w:szCs w:val="18"/>
    </w:rPr>
  </w:style>
  <w:style w:type="character" w:customStyle="1" w:styleId="13">
    <w:name w:val="页眉 Char"/>
    <w:link w:val="5"/>
    <w:semiHidden/>
    <w:qFormat/>
    <w:uiPriority w:val="99"/>
    <w:rPr>
      <w:kern w:val="2"/>
      <w:sz w:val="18"/>
      <w:szCs w:val="18"/>
    </w:rPr>
  </w:style>
  <w:style w:type="paragraph" w:customStyle="1" w:styleId="14">
    <w:name w:val="列出段落1"/>
    <w:basedOn w:val="1"/>
    <w:qFormat/>
    <w:uiPriority w:val="34"/>
    <w:pPr>
      <w:ind w:firstLine="420" w:firstLineChars="200"/>
    </w:pPr>
    <w:rPr>
      <w:rFonts w:ascii="Calibri" w:hAnsi="Calibri"/>
      <w:szCs w:val="22"/>
    </w:rPr>
  </w:style>
  <w:style w:type="character" w:customStyle="1" w:styleId="15">
    <w:name w:val="批注框文本 Char"/>
    <w:link w:val="3"/>
    <w:semiHidden/>
    <w:qFormat/>
    <w:uiPriority w:val="99"/>
    <w:rPr>
      <w:kern w:val="2"/>
      <w:sz w:val="18"/>
      <w:szCs w:val="18"/>
    </w:rPr>
  </w:style>
  <w:style w:type="character" w:customStyle="1" w:styleId="16">
    <w:name w:val="方案正文 Char"/>
    <w:link w:val="17"/>
    <w:qFormat/>
    <w:locked/>
    <w:uiPriority w:val="0"/>
    <w:rPr>
      <w:rFonts w:ascii="仿宋_GB2312" w:hAnsi="宋体" w:eastAsia="仿宋_GB2312"/>
      <w:sz w:val="28"/>
      <w:szCs w:val="28"/>
    </w:rPr>
  </w:style>
  <w:style w:type="paragraph" w:customStyle="1" w:styleId="17">
    <w:name w:val="方案正文"/>
    <w:basedOn w:val="1"/>
    <w:link w:val="16"/>
    <w:qFormat/>
    <w:uiPriority w:val="0"/>
    <w:pPr>
      <w:spacing w:line="360" w:lineRule="auto"/>
      <w:ind w:firstLine="560" w:firstLineChars="200"/>
    </w:pPr>
    <w:rPr>
      <w:rFonts w:ascii="仿宋_GB2312" w:hAnsi="宋体" w:eastAsia="仿宋_GB2312"/>
      <w:kern w:val="0"/>
      <w:sz w:val="28"/>
      <w:szCs w:val="28"/>
    </w:rPr>
  </w:style>
  <w:style w:type="paragraph" w:customStyle="1" w:styleId="18">
    <w:name w:val="Table Paragraph"/>
    <w:basedOn w:val="1"/>
    <w:qFormat/>
    <w:uiPriority w:val="99"/>
    <w:rPr>
      <w:rFonts w:eastAsia="仿宋_GB2312"/>
      <w:sz w:val="32"/>
    </w:rPr>
  </w:style>
  <w:style w:type="table" w:customStyle="1" w:styleId="19">
    <w:name w:val="Table Normal"/>
    <w:unhideWhenUsed/>
    <w:qFormat/>
    <w:uiPriority w:val="2"/>
    <w:tblPr>
      <w:tblLayout w:type="fixed"/>
      <w:tblCellMar>
        <w:top w:w="0" w:type="dxa"/>
        <w:left w:w="0" w:type="dxa"/>
        <w:bottom w:w="0" w:type="dxa"/>
        <w:right w:w="0" w:type="dxa"/>
      </w:tblCellMar>
    </w:tblPr>
  </w:style>
  <w:style w:type="character" w:customStyle="1" w:styleId="20">
    <w:name w:val="批注文字 Char"/>
    <w:basedOn w:val="9"/>
    <w:link w:val="2"/>
    <w:semiHidden/>
    <w:qFormat/>
    <w:uiPriority w:val="99"/>
    <w:rPr>
      <w:kern w:val="2"/>
      <w:sz w:val="21"/>
      <w:szCs w:val="24"/>
    </w:rPr>
  </w:style>
  <w:style w:type="character" w:customStyle="1" w:styleId="21">
    <w:name w:val="批注主题 Char"/>
    <w:basedOn w:val="20"/>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4</Pages>
  <Words>440</Words>
  <Characters>2508</Characters>
  <Lines>20</Lines>
  <Paragraphs>5</Paragraphs>
  <TotalTime>6</TotalTime>
  <ScaleCrop>false</ScaleCrop>
  <LinksUpToDate>false</LinksUpToDate>
  <CharactersWithSpaces>2943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2020-11-05T03:00:00Z</dcterms:created>
  <dc:creator>Legend User</dc:creator>
  <cp:lastModifiedBy>江门市监局</cp:lastModifiedBy>
  <cp:lastPrinted>2019-12-05T07:53:00Z</cp:lastPrinted>
  <dcterms:modified xsi:type="dcterms:W3CDTF">2021-08-10T10:21:46Z</dcterms:modified>
  <dc:title>××产品质量监督抽查实施细则</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