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江门市摩托车乘员头盔产品质量监督抽查实施细则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szCs w:val="21"/>
        </w:rPr>
      </w:pPr>
      <w:r>
        <w:rPr>
          <w:rFonts w:hint="eastAsia"/>
          <w:szCs w:val="21"/>
        </w:rPr>
        <w:t>每批次产品抽取样品</w:t>
      </w:r>
      <w:r>
        <w:rPr>
          <w:szCs w:val="21"/>
        </w:rPr>
        <w:t>1</w:t>
      </w:r>
      <w:r>
        <w:rPr>
          <w:rFonts w:hint="eastAsia"/>
          <w:szCs w:val="21"/>
        </w:rPr>
        <w:t>2顶，其中6顶作为检验样品，6顶作为</w:t>
      </w:r>
      <w:bookmarkStart w:id="0" w:name="_GoBack"/>
      <w:bookmarkEnd w:id="0"/>
      <w:r>
        <w:rPr>
          <w:rFonts w:hint="eastAsia"/>
          <w:szCs w:val="21"/>
        </w:rPr>
        <w:t>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5"/>
        <w:tblW w:w="8445"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489"/>
        <w:gridCol w:w="426"/>
        <w:gridCol w:w="808"/>
        <w:gridCol w:w="2050"/>
        <w:gridCol w:w="767"/>
        <w:gridCol w:w="800"/>
        <w:gridCol w:w="833"/>
        <w:gridCol w:w="833"/>
        <w:gridCol w:w="7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7" w:hRule="atLeast"/>
          <w:tblHeader/>
          <w:jc w:val="center"/>
        </w:trPr>
        <w:tc>
          <w:tcPr>
            <w:tcW w:w="655" w:type="dxa"/>
            <w:shd w:val="clear" w:color="auto" w:fill="auto"/>
            <w:vAlign w:val="center"/>
          </w:tcPr>
          <w:p>
            <w:pPr>
              <w:adjustRightInd w:val="0"/>
              <w:snapToGrid w:val="0"/>
              <w:jc w:val="center"/>
              <w:rPr>
                <w:szCs w:val="21"/>
              </w:rPr>
            </w:pPr>
            <w:r>
              <w:rPr>
                <w:szCs w:val="21"/>
              </w:rPr>
              <w:t>序号</w:t>
            </w:r>
          </w:p>
        </w:tc>
        <w:tc>
          <w:tcPr>
            <w:tcW w:w="1723" w:type="dxa"/>
            <w:gridSpan w:val="3"/>
            <w:shd w:val="clear" w:color="auto" w:fill="auto"/>
            <w:vAlign w:val="center"/>
          </w:tcPr>
          <w:p>
            <w:pPr>
              <w:adjustRightInd w:val="0"/>
              <w:snapToGrid w:val="0"/>
              <w:jc w:val="center"/>
              <w:rPr>
                <w:szCs w:val="21"/>
              </w:rPr>
            </w:pPr>
            <w:r>
              <w:rPr>
                <w:szCs w:val="21"/>
              </w:rPr>
              <w:t>检验项目</w:t>
            </w:r>
          </w:p>
        </w:tc>
        <w:tc>
          <w:tcPr>
            <w:tcW w:w="2050" w:type="dxa"/>
            <w:shd w:val="clear" w:color="auto" w:fill="auto"/>
            <w:vAlign w:val="center"/>
          </w:tcPr>
          <w:p>
            <w:pPr>
              <w:adjustRightInd w:val="0"/>
              <w:snapToGrid w:val="0"/>
              <w:jc w:val="center"/>
              <w:rPr>
                <w:szCs w:val="21"/>
              </w:rPr>
            </w:pPr>
            <w:r>
              <w:rPr>
                <w:szCs w:val="21"/>
              </w:rPr>
              <w:t>检验方法</w:t>
            </w:r>
          </w:p>
        </w:tc>
        <w:tc>
          <w:tcPr>
            <w:tcW w:w="767" w:type="dxa"/>
            <w:shd w:val="clear" w:color="auto" w:fill="auto"/>
            <w:vAlign w:val="center"/>
          </w:tcPr>
          <w:p>
            <w:pPr>
              <w:adjustRightInd w:val="0"/>
              <w:snapToGrid w:val="0"/>
              <w:jc w:val="center"/>
              <w:rPr>
                <w:szCs w:val="21"/>
              </w:rPr>
            </w:pPr>
            <w:r>
              <w:rPr>
                <w:szCs w:val="21"/>
              </w:rPr>
              <w:t>强制性</w:t>
            </w:r>
          </w:p>
        </w:tc>
        <w:tc>
          <w:tcPr>
            <w:tcW w:w="800"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833" w:type="dxa"/>
            <w:shd w:val="clear" w:color="auto" w:fill="auto"/>
            <w:vAlign w:val="center"/>
          </w:tcPr>
          <w:p>
            <w:pPr>
              <w:adjustRightInd w:val="0"/>
              <w:snapToGrid w:val="0"/>
              <w:jc w:val="center"/>
              <w:rPr>
                <w:szCs w:val="21"/>
              </w:rPr>
            </w:pPr>
            <w:r>
              <w:rPr>
                <w:szCs w:val="21"/>
              </w:rPr>
              <w:t>重要项</w:t>
            </w:r>
          </w:p>
        </w:tc>
        <w:tc>
          <w:tcPr>
            <w:tcW w:w="833"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784"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8" w:hRule="atLeast"/>
          <w:jc w:val="center"/>
        </w:trPr>
        <w:tc>
          <w:tcPr>
            <w:tcW w:w="655" w:type="dxa"/>
            <w:shd w:val="clear" w:color="auto" w:fill="auto"/>
            <w:vAlign w:val="center"/>
          </w:tcPr>
          <w:p>
            <w:pPr>
              <w:adjustRightInd w:val="0"/>
              <w:snapToGrid w:val="0"/>
              <w:spacing w:line="360" w:lineRule="auto"/>
              <w:jc w:val="center"/>
              <w:rPr>
                <w:szCs w:val="21"/>
              </w:rPr>
            </w:pPr>
            <w:r>
              <w:rPr>
                <w:kern w:val="0"/>
                <w:szCs w:val="21"/>
              </w:rPr>
              <w:t>1</w:t>
            </w:r>
          </w:p>
        </w:tc>
        <w:tc>
          <w:tcPr>
            <w:tcW w:w="1723" w:type="dxa"/>
            <w:gridSpan w:val="3"/>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规格尺寸</w:t>
            </w:r>
          </w:p>
        </w:tc>
        <w:tc>
          <w:tcPr>
            <w:tcW w:w="2050" w:type="dxa"/>
            <w:shd w:val="clear" w:color="auto" w:fill="auto"/>
            <w:vAlign w:val="center"/>
          </w:tcPr>
          <w:p>
            <w:pPr>
              <w:snapToGrid w:val="0"/>
              <w:jc w:val="center"/>
              <w:rPr>
                <w:rFonts w:cs="仿宋_GB2312"/>
                <w:szCs w:val="21"/>
              </w:rPr>
            </w:pPr>
            <w:r>
              <w:rPr>
                <w:rFonts w:hint="eastAsia" w:cs="仿宋_GB2312"/>
                <w:szCs w:val="21"/>
              </w:rPr>
              <w:t>GB 811-2010/3.3</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szCs w:val="21"/>
              </w:rPr>
            </w:pPr>
            <w:r>
              <w:rPr>
                <w:kern w:val="0"/>
                <w:szCs w:val="21"/>
              </w:rPr>
              <w:t>2</w:t>
            </w:r>
          </w:p>
        </w:tc>
        <w:tc>
          <w:tcPr>
            <w:tcW w:w="489" w:type="dxa"/>
            <w:vMerge w:val="restart"/>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结构</w:t>
            </w:r>
          </w:p>
        </w:tc>
        <w:tc>
          <w:tcPr>
            <w:tcW w:w="1234" w:type="dxa"/>
            <w:gridSpan w:val="2"/>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结构组成</w:t>
            </w:r>
          </w:p>
        </w:tc>
        <w:tc>
          <w:tcPr>
            <w:tcW w:w="2050" w:type="dxa"/>
            <w:shd w:val="clear" w:color="auto" w:fill="auto"/>
            <w:vAlign w:val="center"/>
          </w:tcPr>
          <w:p>
            <w:pPr>
              <w:snapToGrid w:val="0"/>
              <w:jc w:val="center"/>
              <w:rPr>
                <w:rFonts w:cs="仿宋_GB2312"/>
                <w:szCs w:val="21"/>
              </w:rPr>
            </w:pPr>
            <w:r>
              <w:rPr>
                <w:rFonts w:hint="eastAsia" w:cs="仿宋_GB2312"/>
                <w:szCs w:val="21"/>
              </w:rPr>
              <w:t>GB 811-2010/4.1.1</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 w:hRule="atLeast"/>
          <w:jc w:val="center"/>
        </w:trPr>
        <w:tc>
          <w:tcPr>
            <w:tcW w:w="655" w:type="dxa"/>
            <w:vMerge w:val="restart"/>
            <w:shd w:val="clear" w:color="auto" w:fill="auto"/>
            <w:vAlign w:val="center"/>
          </w:tcPr>
          <w:p>
            <w:pPr>
              <w:adjustRightInd w:val="0"/>
              <w:snapToGrid w:val="0"/>
              <w:spacing w:line="360" w:lineRule="auto"/>
              <w:jc w:val="center"/>
              <w:rPr>
                <w:kern w:val="0"/>
                <w:szCs w:val="21"/>
              </w:rPr>
            </w:pPr>
            <w:r>
              <w:rPr>
                <w:rFonts w:hint="eastAsia"/>
                <w:kern w:val="0"/>
                <w:szCs w:val="21"/>
              </w:rPr>
              <w:t>3</w:t>
            </w: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426" w:type="dxa"/>
            <w:vMerge w:val="restart"/>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壳体</w:t>
            </w:r>
          </w:p>
        </w:tc>
        <w:tc>
          <w:tcPr>
            <w:tcW w:w="808" w:type="dxa"/>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a</w:t>
            </w:r>
          </w:p>
        </w:tc>
        <w:tc>
          <w:tcPr>
            <w:tcW w:w="2050" w:type="dxa"/>
            <w:vMerge w:val="restart"/>
            <w:shd w:val="clear" w:color="auto" w:fill="auto"/>
            <w:vAlign w:val="center"/>
          </w:tcPr>
          <w:p>
            <w:pPr>
              <w:snapToGrid w:val="0"/>
              <w:jc w:val="center"/>
              <w:rPr>
                <w:rFonts w:cs="仿宋_GB2312"/>
                <w:szCs w:val="21"/>
              </w:rPr>
            </w:pPr>
            <w:r>
              <w:rPr>
                <w:rFonts w:hint="eastAsia" w:cs="仿宋_GB2312"/>
                <w:szCs w:val="21"/>
              </w:rPr>
              <w:t>GB 811-2010/4.1.2</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 w:hRule="atLeast"/>
          <w:jc w:val="center"/>
        </w:trPr>
        <w:tc>
          <w:tcPr>
            <w:tcW w:w="655" w:type="dxa"/>
            <w:vMerge w:val="continue"/>
            <w:shd w:val="clear" w:color="auto" w:fill="auto"/>
            <w:vAlign w:val="center"/>
          </w:tcPr>
          <w:p>
            <w:pPr>
              <w:adjustRightInd w:val="0"/>
              <w:snapToGrid w:val="0"/>
              <w:spacing w:line="360" w:lineRule="auto"/>
              <w:jc w:val="center"/>
              <w:rPr>
                <w:kern w:val="0"/>
                <w:szCs w:val="21"/>
              </w:rPr>
            </w:pP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426"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808" w:type="dxa"/>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b</w:t>
            </w:r>
          </w:p>
        </w:tc>
        <w:tc>
          <w:tcPr>
            <w:tcW w:w="2050" w:type="dxa"/>
            <w:vMerge w:val="continue"/>
            <w:shd w:val="clear" w:color="auto" w:fill="auto"/>
            <w:vAlign w:val="center"/>
          </w:tcPr>
          <w:p>
            <w:pPr>
              <w:snapToGrid w:val="0"/>
              <w:jc w:val="center"/>
              <w:rPr>
                <w:rFonts w:cs="仿宋_GB2312"/>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 w:hRule="atLeast"/>
          <w:jc w:val="center"/>
        </w:trPr>
        <w:tc>
          <w:tcPr>
            <w:tcW w:w="655" w:type="dxa"/>
            <w:vMerge w:val="continue"/>
            <w:shd w:val="clear" w:color="auto" w:fill="auto"/>
            <w:vAlign w:val="center"/>
          </w:tcPr>
          <w:p>
            <w:pPr>
              <w:adjustRightInd w:val="0"/>
              <w:snapToGrid w:val="0"/>
              <w:spacing w:line="360" w:lineRule="auto"/>
              <w:jc w:val="center"/>
              <w:rPr>
                <w:kern w:val="0"/>
                <w:szCs w:val="21"/>
              </w:rPr>
            </w:pP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426"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808" w:type="dxa"/>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c</w:t>
            </w:r>
          </w:p>
        </w:tc>
        <w:tc>
          <w:tcPr>
            <w:tcW w:w="2050" w:type="dxa"/>
            <w:vMerge w:val="continue"/>
            <w:shd w:val="clear" w:color="auto" w:fill="auto"/>
            <w:vAlign w:val="center"/>
          </w:tcPr>
          <w:p>
            <w:pPr>
              <w:snapToGrid w:val="0"/>
              <w:jc w:val="center"/>
              <w:rPr>
                <w:rFonts w:cs="仿宋_GB2312"/>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 w:hRule="atLeast"/>
          <w:jc w:val="center"/>
        </w:trPr>
        <w:tc>
          <w:tcPr>
            <w:tcW w:w="655" w:type="dxa"/>
            <w:vMerge w:val="continue"/>
            <w:shd w:val="clear" w:color="auto" w:fill="auto"/>
            <w:vAlign w:val="center"/>
          </w:tcPr>
          <w:p>
            <w:pPr>
              <w:adjustRightInd w:val="0"/>
              <w:snapToGrid w:val="0"/>
              <w:spacing w:line="360" w:lineRule="auto"/>
              <w:jc w:val="center"/>
              <w:rPr>
                <w:kern w:val="0"/>
                <w:szCs w:val="21"/>
              </w:rPr>
            </w:pP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426"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808" w:type="dxa"/>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d</w:t>
            </w:r>
          </w:p>
        </w:tc>
        <w:tc>
          <w:tcPr>
            <w:tcW w:w="2050" w:type="dxa"/>
            <w:vMerge w:val="continue"/>
            <w:shd w:val="clear" w:color="auto" w:fill="auto"/>
            <w:vAlign w:val="center"/>
          </w:tcPr>
          <w:p>
            <w:pPr>
              <w:snapToGrid w:val="0"/>
              <w:jc w:val="center"/>
              <w:rPr>
                <w:rFonts w:cs="仿宋_GB2312"/>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 w:hRule="atLeast"/>
          <w:jc w:val="center"/>
        </w:trPr>
        <w:tc>
          <w:tcPr>
            <w:tcW w:w="655" w:type="dxa"/>
            <w:vMerge w:val="continue"/>
            <w:shd w:val="clear" w:color="auto" w:fill="auto"/>
            <w:vAlign w:val="center"/>
          </w:tcPr>
          <w:p>
            <w:pPr>
              <w:adjustRightInd w:val="0"/>
              <w:snapToGrid w:val="0"/>
              <w:spacing w:line="360" w:lineRule="auto"/>
              <w:jc w:val="center"/>
              <w:rPr>
                <w:kern w:val="0"/>
                <w:szCs w:val="21"/>
              </w:rPr>
            </w:pP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426"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808" w:type="dxa"/>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e</w:t>
            </w:r>
          </w:p>
        </w:tc>
        <w:tc>
          <w:tcPr>
            <w:tcW w:w="2050" w:type="dxa"/>
            <w:vMerge w:val="continue"/>
            <w:shd w:val="clear" w:color="auto" w:fill="auto"/>
            <w:vAlign w:val="center"/>
          </w:tcPr>
          <w:p>
            <w:pPr>
              <w:snapToGrid w:val="0"/>
              <w:jc w:val="center"/>
              <w:rPr>
                <w:rFonts w:cs="仿宋_GB2312"/>
                <w:szCs w:val="21"/>
              </w:rPr>
            </w:pP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4</w:t>
            </w: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1234" w:type="dxa"/>
            <w:gridSpan w:val="2"/>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缓冲层</w:t>
            </w:r>
          </w:p>
        </w:tc>
        <w:tc>
          <w:tcPr>
            <w:tcW w:w="2050" w:type="dxa"/>
            <w:shd w:val="clear" w:color="auto" w:fill="auto"/>
            <w:vAlign w:val="center"/>
          </w:tcPr>
          <w:p>
            <w:pPr>
              <w:snapToGrid w:val="0"/>
              <w:jc w:val="center"/>
              <w:rPr>
                <w:rFonts w:cs="仿宋_GB2312"/>
                <w:szCs w:val="21"/>
              </w:rPr>
            </w:pPr>
            <w:r>
              <w:rPr>
                <w:rFonts w:hint="eastAsia" w:cs="仿宋_GB2312"/>
                <w:szCs w:val="21"/>
              </w:rPr>
              <w:t>GB 811-2010/4.1.3</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5</w:t>
            </w: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1234" w:type="dxa"/>
            <w:gridSpan w:val="2"/>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舒适衬垫</w:t>
            </w:r>
          </w:p>
        </w:tc>
        <w:tc>
          <w:tcPr>
            <w:tcW w:w="2050" w:type="dxa"/>
            <w:shd w:val="clear" w:color="auto" w:fill="auto"/>
            <w:vAlign w:val="center"/>
          </w:tcPr>
          <w:p>
            <w:pPr>
              <w:snapToGrid w:val="0"/>
              <w:jc w:val="center"/>
              <w:rPr>
                <w:rFonts w:cs="仿宋_GB2312"/>
                <w:szCs w:val="21"/>
              </w:rPr>
            </w:pPr>
            <w:r>
              <w:rPr>
                <w:rFonts w:hint="eastAsia" w:cs="仿宋_GB2312"/>
                <w:szCs w:val="21"/>
              </w:rPr>
              <w:t>GB 811-2010/4.1.4</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6</w:t>
            </w: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1234" w:type="dxa"/>
            <w:gridSpan w:val="2"/>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r>
              <w:rPr>
                <w:rFonts w:hint="eastAsia" w:asciiTheme="minorEastAsia" w:hAnsiTheme="minorEastAsia" w:eastAsiaTheme="minorEastAsia"/>
                <w:szCs w:val="21"/>
              </w:rPr>
              <w:t>佩戴装置</w:t>
            </w:r>
          </w:p>
        </w:tc>
        <w:tc>
          <w:tcPr>
            <w:tcW w:w="2050" w:type="dxa"/>
            <w:shd w:val="clear" w:color="auto" w:fill="auto"/>
            <w:vAlign w:val="center"/>
          </w:tcPr>
          <w:p>
            <w:pPr>
              <w:snapToGrid w:val="0"/>
              <w:jc w:val="center"/>
              <w:rPr>
                <w:rFonts w:cs="仿宋_GB2312"/>
                <w:szCs w:val="21"/>
              </w:rPr>
            </w:pPr>
            <w:r>
              <w:rPr>
                <w:rFonts w:hint="eastAsia" w:cs="仿宋_GB2312"/>
                <w:szCs w:val="21"/>
              </w:rPr>
              <w:t>GB 811-2010/4.1.5</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7</w:t>
            </w:r>
          </w:p>
        </w:tc>
        <w:tc>
          <w:tcPr>
            <w:tcW w:w="489" w:type="dxa"/>
            <w:vMerge w:val="continue"/>
            <w:shd w:val="clear" w:color="auto" w:fill="auto"/>
            <w:vAlign w:val="center"/>
          </w:tcPr>
          <w:p>
            <w:pPr>
              <w:adjustRightInd w:val="0"/>
              <w:snapToGrid w:val="0"/>
              <w:spacing w:line="280" w:lineRule="exact"/>
              <w:jc w:val="center"/>
              <w:rPr>
                <w:rFonts w:cs="仿宋_GB2312" w:asciiTheme="minorEastAsia" w:hAnsiTheme="minorEastAsia" w:eastAsiaTheme="minorEastAsia"/>
                <w:szCs w:val="21"/>
              </w:rPr>
            </w:pPr>
          </w:p>
        </w:tc>
        <w:tc>
          <w:tcPr>
            <w:tcW w:w="1234" w:type="dxa"/>
            <w:gridSpan w:val="2"/>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护目镜</w:t>
            </w:r>
          </w:p>
        </w:tc>
        <w:tc>
          <w:tcPr>
            <w:tcW w:w="2050" w:type="dxa"/>
            <w:shd w:val="clear" w:color="auto" w:fill="auto"/>
            <w:vAlign w:val="center"/>
          </w:tcPr>
          <w:p>
            <w:pPr>
              <w:snapToGrid w:val="0"/>
              <w:jc w:val="center"/>
              <w:rPr>
                <w:rFonts w:cs="仿宋_GB2312"/>
                <w:szCs w:val="21"/>
              </w:rPr>
            </w:pPr>
            <w:r>
              <w:rPr>
                <w:rFonts w:hint="eastAsia" w:cs="仿宋_GB2312"/>
                <w:szCs w:val="21"/>
              </w:rPr>
              <w:t>GB 811-2010/4.1.6</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8</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保护区及试验区</w:t>
            </w:r>
          </w:p>
        </w:tc>
        <w:tc>
          <w:tcPr>
            <w:tcW w:w="2050" w:type="dxa"/>
            <w:shd w:val="clear" w:color="auto" w:fill="auto"/>
            <w:vAlign w:val="center"/>
          </w:tcPr>
          <w:p>
            <w:pPr>
              <w:snapToGrid w:val="0"/>
              <w:jc w:val="center"/>
              <w:rPr>
                <w:rFonts w:cs="仿宋_GB2312"/>
                <w:szCs w:val="21"/>
              </w:rPr>
            </w:pPr>
            <w:r>
              <w:rPr>
                <w:rFonts w:hint="eastAsia" w:cs="仿宋_GB2312"/>
                <w:szCs w:val="21"/>
              </w:rPr>
              <w:t>GB 811-2010/4.2.1</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9</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w:t>
            </w:r>
          </w:p>
        </w:tc>
        <w:tc>
          <w:tcPr>
            <w:tcW w:w="2050" w:type="dxa"/>
            <w:shd w:val="clear" w:color="auto" w:fill="auto"/>
            <w:vAlign w:val="center"/>
          </w:tcPr>
          <w:p>
            <w:pPr>
              <w:snapToGrid w:val="0"/>
              <w:jc w:val="center"/>
              <w:rPr>
                <w:rFonts w:cs="仿宋_GB2312"/>
                <w:szCs w:val="21"/>
              </w:rPr>
            </w:pPr>
            <w:r>
              <w:rPr>
                <w:rFonts w:hint="eastAsia" w:cs="仿宋_GB2312"/>
                <w:szCs w:val="21"/>
              </w:rPr>
              <w:t>GB 811-2010/4.2.2</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10</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视野</w:t>
            </w:r>
          </w:p>
        </w:tc>
        <w:tc>
          <w:tcPr>
            <w:tcW w:w="2050" w:type="dxa"/>
            <w:shd w:val="clear" w:color="auto" w:fill="auto"/>
            <w:vAlign w:val="center"/>
          </w:tcPr>
          <w:p>
            <w:pPr>
              <w:snapToGrid w:val="0"/>
              <w:jc w:val="center"/>
              <w:rPr>
                <w:rFonts w:cs="仿宋_GB2312"/>
                <w:szCs w:val="21"/>
              </w:rPr>
            </w:pPr>
            <w:r>
              <w:rPr>
                <w:rFonts w:hint="eastAsia" w:cs="仿宋_GB2312"/>
                <w:szCs w:val="21"/>
              </w:rPr>
              <w:t>GB 811-2010/4.2.3</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11</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护目镜</w:t>
            </w:r>
          </w:p>
        </w:tc>
        <w:tc>
          <w:tcPr>
            <w:tcW w:w="2050" w:type="dxa"/>
            <w:shd w:val="clear" w:color="auto" w:fill="auto"/>
            <w:vAlign w:val="center"/>
          </w:tcPr>
          <w:p>
            <w:pPr>
              <w:snapToGrid w:val="0"/>
              <w:jc w:val="center"/>
              <w:rPr>
                <w:rFonts w:cs="仿宋_GB2312"/>
                <w:szCs w:val="21"/>
              </w:rPr>
            </w:pPr>
            <w:r>
              <w:rPr>
                <w:rFonts w:hint="eastAsia" w:cs="仿宋_GB2312"/>
                <w:szCs w:val="21"/>
              </w:rPr>
              <w:t>GB 811-2010/4.2.4</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12</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刚度性能</w:t>
            </w:r>
          </w:p>
        </w:tc>
        <w:tc>
          <w:tcPr>
            <w:tcW w:w="2050" w:type="dxa"/>
            <w:shd w:val="clear" w:color="auto" w:fill="auto"/>
            <w:vAlign w:val="center"/>
          </w:tcPr>
          <w:p>
            <w:pPr>
              <w:snapToGrid w:val="0"/>
              <w:jc w:val="center"/>
              <w:rPr>
                <w:rFonts w:cs="仿宋_GB2312"/>
                <w:szCs w:val="21"/>
              </w:rPr>
            </w:pPr>
            <w:r>
              <w:rPr>
                <w:rFonts w:hint="eastAsia" w:cs="仿宋_GB2312"/>
                <w:szCs w:val="21"/>
              </w:rPr>
              <w:t>GB 811-2010/4.2.5</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13</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固定装置稳定性</w:t>
            </w:r>
          </w:p>
        </w:tc>
        <w:tc>
          <w:tcPr>
            <w:tcW w:w="2050" w:type="dxa"/>
            <w:shd w:val="clear" w:color="auto" w:fill="auto"/>
            <w:vAlign w:val="center"/>
          </w:tcPr>
          <w:p>
            <w:pPr>
              <w:snapToGrid w:val="0"/>
              <w:jc w:val="center"/>
              <w:rPr>
                <w:rFonts w:cs="仿宋_GB2312"/>
                <w:szCs w:val="21"/>
              </w:rPr>
            </w:pPr>
            <w:r>
              <w:rPr>
                <w:rFonts w:hint="eastAsia" w:cs="仿宋_GB2312"/>
                <w:szCs w:val="21"/>
              </w:rPr>
              <w:t>GB 811-2010/4.2.6</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14</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佩戴装置强度</w:t>
            </w:r>
          </w:p>
        </w:tc>
        <w:tc>
          <w:tcPr>
            <w:tcW w:w="2050" w:type="dxa"/>
            <w:shd w:val="clear" w:color="auto" w:fill="auto"/>
            <w:vAlign w:val="center"/>
          </w:tcPr>
          <w:p>
            <w:pPr>
              <w:snapToGrid w:val="0"/>
              <w:jc w:val="center"/>
              <w:rPr>
                <w:rFonts w:cs="仿宋_GB2312"/>
                <w:szCs w:val="21"/>
              </w:rPr>
            </w:pPr>
            <w:r>
              <w:rPr>
                <w:rFonts w:hint="eastAsia" w:cs="仿宋_GB2312"/>
                <w:szCs w:val="21"/>
              </w:rPr>
              <w:t>GB 811-2010/4.2.7</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15</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吸收碰撞能量性能</w:t>
            </w:r>
          </w:p>
        </w:tc>
        <w:tc>
          <w:tcPr>
            <w:tcW w:w="2050" w:type="dxa"/>
            <w:shd w:val="clear" w:color="auto" w:fill="auto"/>
            <w:vAlign w:val="center"/>
          </w:tcPr>
          <w:p>
            <w:pPr>
              <w:snapToGrid w:val="0"/>
              <w:jc w:val="center"/>
              <w:rPr>
                <w:rFonts w:cs="仿宋_GB2312"/>
                <w:szCs w:val="21"/>
              </w:rPr>
            </w:pPr>
            <w:r>
              <w:rPr>
                <w:rFonts w:hint="eastAsia" w:cs="仿宋_GB2312"/>
                <w:szCs w:val="21"/>
              </w:rPr>
              <w:t>GB 811-2010/4.2.8</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 w:hRule="atLeast"/>
          <w:jc w:val="center"/>
        </w:trPr>
        <w:tc>
          <w:tcPr>
            <w:tcW w:w="655" w:type="dxa"/>
            <w:shd w:val="clear" w:color="auto" w:fill="auto"/>
            <w:vAlign w:val="center"/>
          </w:tcPr>
          <w:p>
            <w:pPr>
              <w:adjustRightInd w:val="0"/>
              <w:snapToGrid w:val="0"/>
              <w:spacing w:line="360" w:lineRule="auto"/>
              <w:jc w:val="center"/>
              <w:rPr>
                <w:kern w:val="0"/>
                <w:szCs w:val="21"/>
              </w:rPr>
            </w:pPr>
            <w:r>
              <w:rPr>
                <w:rFonts w:hint="eastAsia"/>
                <w:kern w:val="0"/>
                <w:szCs w:val="21"/>
              </w:rPr>
              <w:t>16</w:t>
            </w:r>
          </w:p>
        </w:tc>
        <w:tc>
          <w:tcPr>
            <w:tcW w:w="1723" w:type="dxa"/>
            <w:gridSpan w:val="3"/>
            <w:shd w:val="clear" w:color="auto" w:fill="auto"/>
            <w:vAlign w:val="center"/>
          </w:tcPr>
          <w:p>
            <w:pPr>
              <w:adjustRightInd w:val="0"/>
              <w:snapToGrid w:val="0"/>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耐穿透性能</w:t>
            </w:r>
          </w:p>
        </w:tc>
        <w:tc>
          <w:tcPr>
            <w:tcW w:w="2050" w:type="dxa"/>
            <w:shd w:val="clear" w:color="auto" w:fill="auto"/>
            <w:vAlign w:val="center"/>
          </w:tcPr>
          <w:p>
            <w:pPr>
              <w:snapToGrid w:val="0"/>
              <w:jc w:val="center"/>
              <w:rPr>
                <w:rFonts w:cs="仿宋_GB2312"/>
                <w:szCs w:val="21"/>
              </w:rPr>
            </w:pPr>
            <w:r>
              <w:rPr>
                <w:rFonts w:hint="eastAsia" w:cs="仿宋_GB2312"/>
                <w:szCs w:val="21"/>
              </w:rPr>
              <w:t>GB 811-2010/4.2.9</w:t>
            </w:r>
          </w:p>
        </w:tc>
        <w:tc>
          <w:tcPr>
            <w:tcW w:w="76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0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3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8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 811-2010《摩托车乘员头盔》</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snapToGrid w:val="0"/>
        <w:spacing w:line="440" w:lineRule="exact"/>
        <w:ind w:firstLine="417" w:firstLineChars="199"/>
        <w:rPr>
          <w:rFonts w:ascii="宋体" w:hAnsi="宋体"/>
          <w:szCs w:val="21"/>
        </w:rPr>
      </w:pP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1</w:t>
    </w:r>
    <w:r>
      <w:rPr>
        <w:lang w:val="zh-CN" w:eastAsia="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5C05"/>
    <w:rsid w:val="00081CBD"/>
    <w:rsid w:val="00093484"/>
    <w:rsid w:val="000976DE"/>
    <w:rsid w:val="000F238C"/>
    <w:rsid w:val="00167276"/>
    <w:rsid w:val="00172A27"/>
    <w:rsid w:val="001809DD"/>
    <w:rsid w:val="001C73C8"/>
    <w:rsid w:val="001D3F42"/>
    <w:rsid w:val="001E45FA"/>
    <w:rsid w:val="001E6534"/>
    <w:rsid w:val="001F7503"/>
    <w:rsid w:val="00211261"/>
    <w:rsid w:val="00232530"/>
    <w:rsid w:val="0023606F"/>
    <w:rsid w:val="00240BAF"/>
    <w:rsid w:val="00253624"/>
    <w:rsid w:val="002550C1"/>
    <w:rsid w:val="0026352F"/>
    <w:rsid w:val="002C2EDA"/>
    <w:rsid w:val="002D7F8A"/>
    <w:rsid w:val="002E0D1D"/>
    <w:rsid w:val="00307419"/>
    <w:rsid w:val="003203A3"/>
    <w:rsid w:val="00352295"/>
    <w:rsid w:val="00365CBE"/>
    <w:rsid w:val="00380BC2"/>
    <w:rsid w:val="00382E1F"/>
    <w:rsid w:val="003872D6"/>
    <w:rsid w:val="003A7CDE"/>
    <w:rsid w:val="003A7D30"/>
    <w:rsid w:val="003C388C"/>
    <w:rsid w:val="003E61BF"/>
    <w:rsid w:val="004104AC"/>
    <w:rsid w:val="00413A85"/>
    <w:rsid w:val="00445E86"/>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F3CDD"/>
    <w:rsid w:val="005F7B92"/>
    <w:rsid w:val="00614D5B"/>
    <w:rsid w:val="00636F6C"/>
    <w:rsid w:val="00644040"/>
    <w:rsid w:val="006B422C"/>
    <w:rsid w:val="006B59D7"/>
    <w:rsid w:val="006E0C7B"/>
    <w:rsid w:val="006E1171"/>
    <w:rsid w:val="006F0971"/>
    <w:rsid w:val="0072334C"/>
    <w:rsid w:val="00725B38"/>
    <w:rsid w:val="00732F56"/>
    <w:rsid w:val="007553CD"/>
    <w:rsid w:val="007607C6"/>
    <w:rsid w:val="00774AFE"/>
    <w:rsid w:val="00824C73"/>
    <w:rsid w:val="0084371C"/>
    <w:rsid w:val="008925D0"/>
    <w:rsid w:val="00895BEA"/>
    <w:rsid w:val="00896D63"/>
    <w:rsid w:val="008A3497"/>
    <w:rsid w:val="008A718C"/>
    <w:rsid w:val="008B4316"/>
    <w:rsid w:val="008E1F6F"/>
    <w:rsid w:val="00917A54"/>
    <w:rsid w:val="00951ADF"/>
    <w:rsid w:val="00960D38"/>
    <w:rsid w:val="00965904"/>
    <w:rsid w:val="009B568C"/>
    <w:rsid w:val="009B7EFE"/>
    <w:rsid w:val="009F2545"/>
    <w:rsid w:val="009F5ACE"/>
    <w:rsid w:val="00A0633E"/>
    <w:rsid w:val="00A43553"/>
    <w:rsid w:val="00AA1AF9"/>
    <w:rsid w:val="00AA298F"/>
    <w:rsid w:val="00AC5391"/>
    <w:rsid w:val="00B32524"/>
    <w:rsid w:val="00B333A4"/>
    <w:rsid w:val="00B33B79"/>
    <w:rsid w:val="00B62E7B"/>
    <w:rsid w:val="00B75CFF"/>
    <w:rsid w:val="00B92C57"/>
    <w:rsid w:val="00BA5F40"/>
    <w:rsid w:val="00BF2B8C"/>
    <w:rsid w:val="00BF4A64"/>
    <w:rsid w:val="00BF4F8C"/>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F442E"/>
    <w:rsid w:val="00D01F0E"/>
    <w:rsid w:val="00D22024"/>
    <w:rsid w:val="00D25F82"/>
    <w:rsid w:val="00D56867"/>
    <w:rsid w:val="00D61476"/>
    <w:rsid w:val="00D8267F"/>
    <w:rsid w:val="00D87B4F"/>
    <w:rsid w:val="00DD2C11"/>
    <w:rsid w:val="00DD5C43"/>
    <w:rsid w:val="00DE17DC"/>
    <w:rsid w:val="00DE2A74"/>
    <w:rsid w:val="00DE5F11"/>
    <w:rsid w:val="00DF7152"/>
    <w:rsid w:val="00E02A7F"/>
    <w:rsid w:val="00E07880"/>
    <w:rsid w:val="00E20721"/>
    <w:rsid w:val="00E31131"/>
    <w:rsid w:val="00E312C7"/>
    <w:rsid w:val="00E379D2"/>
    <w:rsid w:val="00E70616"/>
    <w:rsid w:val="00E735FF"/>
    <w:rsid w:val="00E82621"/>
    <w:rsid w:val="00ED5B7A"/>
    <w:rsid w:val="00ED72FD"/>
    <w:rsid w:val="00EF4319"/>
    <w:rsid w:val="00F24F6D"/>
    <w:rsid w:val="00F2603F"/>
    <w:rsid w:val="00F43F54"/>
    <w:rsid w:val="00F50137"/>
    <w:rsid w:val="00F525A6"/>
    <w:rsid w:val="00F56DBA"/>
    <w:rsid w:val="00F64407"/>
    <w:rsid w:val="00F75CDC"/>
    <w:rsid w:val="00F7641A"/>
    <w:rsid w:val="00F77C9A"/>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lang w:val="zh-CN" w:eastAsia="zh-CN"/>
    </w:rPr>
  </w:style>
  <w:style w:type="paragraph" w:styleId="3">
    <w:name w:val="footer"/>
    <w:basedOn w:val="1"/>
    <w:link w:val="9"/>
    <w:unhideWhenUsed/>
    <w:qFormat/>
    <w:uiPriority w:val="99"/>
    <w:pPr>
      <w:tabs>
        <w:tab w:val="center" w:pos="4153"/>
        <w:tab w:val="right" w:pos="8306"/>
      </w:tabs>
      <w:snapToGrid w:val="0"/>
      <w:jc w:val="left"/>
    </w:pPr>
    <w:rPr>
      <w:sz w:val="18"/>
      <w:szCs w:val="18"/>
      <w:lang w:val="zh-CN" w:eastAsia="zh-CN"/>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lang w:val="zh-CN" w:eastAsia="zh-CN"/>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lang w:val="zh-CN" w:eastAsia="zh-CN"/>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970</Words>
  <Characters>500</Characters>
  <Lines>4</Lines>
  <Paragraphs>2</Paragraphs>
  <TotalTime>1</TotalTime>
  <ScaleCrop>false</ScaleCrop>
  <LinksUpToDate>false</LinksUpToDate>
  <CharactersWithSpaces>1468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2021-08-10T10:51:27Z</dcterms:modified>
  <dc:title>××产品质量监督抽查实施细则</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