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江门市非医用口罩产品质量监督抽查实施细则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Times New Roman"/>
          <w:sz w:val="21"/>
          <w:szCs w:val="21"/>
        </w:rPr>
      </w:pPr>
    </w:p>
    <w:p>
      <w:pPr>
        <w:snapToGrid w:val="0"/>
        <w:spacing w:line="440" w:lineRule="exact"/>
        <w:ind w:firstLine="420" w:firstLineChars="200"/>
        <w:rPr>
          <w:rFonts w:hint="eastAsia" w:ascii="黑体" w:hAnsi="宋体" w:eastAsia="黑体"/>
          <w:sz w:val="21"/>
          <w:szCs w:val="21"/>
        </w:rPr>
      </w:pPr>
      <w:r>
        <w:rPr>
          <w:rFonts w:hint="eastAsia" w:ascii="黑体" w:hAnsi="宋体" w:eastAsia="黑体"/>
          <w:sz w:val="21"/>
          <w:szCs w:val="21"/>
          <w:lang w:val="en-US" w:eastAsia="zh-CN"/>
        </w:rPr>
        <w:t>一、</w:t>
      </w:r>
      <w:r>
        <w:rPr>
          <w:rFonts w:hint="eastAsia" w:ascii="黑体" w:hAnsi="宋体" w:eastAsia="黑体"/>
          <w:sz w:val="21"/>
          <w:szCs w:val="21"/>
        </w:rPr>
        <w:t>抽样方法</w:t>
      </w:r>
    </w:p>
    <w:p>
      <w:pPr>
        <w:keepNext w:val="0"/>
        <w:keepLines w:val="0"/>
        <w:pageBreakBefore w:val="0"/>
        <w:widowControl w:val="0"/>
        <w:kinsoku/>
        <w:wordWrap/>
        <w:overflowPunct/>
        <w:topLinePunct w:val="0"/>
        <w:autoSpaceDE/>
        <w:autoSpaceDN/>
        <w:bidi w:val="0"/>
        <w:snapToGrid/>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随机数一般可使用随机数表等方法产生。</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每批次抽样数量见表1。</w:t>
      </w:r>
    </w:p>
    <w:p>
      <w:pPr>
        <w:keepNext w:val="0"/>
        <w:keepLines w:val="0"/>
        <w:pageBreakBefore w:val="0"/>
        <w:kinsoku/>
        <w:wordWrap/>
        <w:overflowPunct/>
        <w:topLinePunct w:val="0"/>
        <w:autoSpaceDE/>
        <w:autoSpaceDN/>
        <w:bidi w:val="0"/>
        <w:adjustRightInd w:val="0"/>
        <w:snapToGrid w:val="0"/>
        <w:spacing w:line="240" w:lineRule="auto"/>
        <w:ind w:firstLine="420" w:firstLineChars="200"/>
        <w:jc w:val="center"/>
        <w:textAlignment w:val="auto"/>
        <w:rPr>
          <w:rFonts w:hint="eastAsia" w:asciiTheme="minorEastAsia" w:hAnsiTheme="minorEastAsia" w:eastAsiaTheme="minorEastAsia" w:cstheme="minorEastAsia"/>
          <w:color w:val="000000"/>
          <w:sz w:val="21"/>
          <w:szCs w:val="21"/>
        </w:rPr>
      </w:pPr>
    </w:p>
    <w:p>
      <w:pPr>
        <w:keepNext w:val="0"/>
        <w:keepLines w:val="0"/>
        <w:pageBreakBefore w:val="0"/>
        <w:kinsoku/>
        <w:wordWrap/>
        <w:overflowPunct/>
        <w:topLinePunct w:val="0"/>
        <w:autoSpaceDE/>
        <w:autoSpaceDN/>
        <w:bidi w:val="0"/>
        <w:adjustRightInd w:val="0"/>
        <w:snapToGrid w:val="0"/>
        <w:spacing w:line="240" w:lineRule="auto"/>
        <w:ind w:firstLine="420" w:firstLineChars="200"/>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表1 抽样数量</w:t>
      </w:r>
    </w:p>
    <w:tbl>
      <w:tblPr>
        <w:tblStyle w:val="6"/>
        <w:tblW w:w="9023" w:type="dxa"/>
        <w:jc w:val="center"/>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1765"/>
        <w:gridCol w:w="2028"/>
        <w:gridCol w:w="4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blHeader/>
          <w:jc w:val="center"/>
        </w:trPr>
        <w:tc>
          <w:tcPr>
            <w:tcW w:w="637"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1765"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明示标准</w:t>
            </w:r>
          </w:p>
        </w:tc>
        <w:tc>
          <w:tcPr>
            <w:tcW w:w="2028"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产品品种</w:t>
            </w:r>
          </w:p>
        </w:tc>
        <w:tc>
          <w:tcPr>
            <w:tcW w:w="4593"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7" w:type="dxa"/>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765" w:type="dxa"/>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 2626-2006</w:t>
            </w:r>
          </w:p>
        </w:tc>
        <w:tc>
          <w:tcPr>
            <w:tcW w:w="2028" w:type="dxa"/>
            <w:vMerge w:val="restart"/>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随弃式</w:t>
            </w:r>
          </w:p>
        </w:tc>
        <w:tc>
          <w:tcPr>
            <w:tcW w:w="4593" w:type="dxa"/>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无阀38个（检验样品19个，备用样品19个）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7" w:type="dxa"/>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p>
        </w:tc>
        <w:tc>
          <w:tcPr>
            <w:tcW w:w="1765" w:type="dxa"/>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p>
        </w:tc>
        <w:tc>
          <w:tcPr>
            <w:tcW w:w="2028" w:type="dxa"/>
            <w:vMerge w:val="continue"/>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p>
        </w:tc>
        <w:tc>
          <w:tcPr>
            <w:tcW w:w="4593" w:type="dxa"/>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有阀46个（检验样品23个，备用样品23个）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7" w:type="dxa"/>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765" w:type="dxa"/>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 2626-2019</w:t>
            </w:r>
          </w:p>
        </w:tc>
        <w:tc>
          <w:tcPr>
            <w:tcW w:w="2028" w:type="dxa"/>
            <w:vMerge w:val="restart"/>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随弃式</w:t>
            </w:r>
          </w:p>
        </w:tc>
        <w:tc>
          <w:tcPr>
            <w:tcW w:w="4593" w:type="dxa"/>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无阀48个（检验样品24个，备用样品24个）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7" w:type="dxa"/>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p>
        </w:tc>
        <w:tc>
          <w:tcPr>
            <w:tcW w:w="1765" w:type="dxa"/>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p>
        </w:tc>
        <w:tc>
          <w:tcPr>
            <w:tcW w:w="2028" w:type="dxa"/>
            <w:vMerge w:val="continue"/>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p>
        </w:tc>
        <w:tc>
          <w:tcPr>
            <w:tcW w:w="4593" w:type="dxa"/>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有阀56个（检验样品28个，备用样品28个）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7"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1765"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GB/T 32610-2016</w:t>
            </w:r>
          </w:p>
        </w:tc>
        <w:tc>
          <w:tcPr>
            <w:tcW w:w="2028" w:type="dxa"/>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4593" w:type="dxa"/>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72个（检验样品36个，备用样品36个）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7" w:type="dxa"/>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1765" w:type="dxa"/>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GB/T 38880-2020</w:t>
            </w:r>
          </w:p>
        </w:tc>
        <w:tc>
          <w:tcPr>
            <w:tcW w:w="2028" w:type="dxa"/>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儿童防护口罩（F）</w:t>
            </w:r>
          </w:p>
        </w:tc>
        <w:tc>
          <w:tcPr>
            <w:tcW w:w="4593" w:type="dxa"/>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48个（检验样品24个，备用样品24个）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7" w:type="dxa"/>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p>
        </w:tc>
        <w:tc>
          <w:tcPr>
            <w:tcW w:w="1765" w:type="dxa"/>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p>
        </w:tc>
        <w:tc>
          <w:tcPr>
            <w:tcW w:w="2028" w:type="dxa"/>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儿童卫生口罩（W）</w:t>
            </w:r>
          </w:p>
        </w:tc>
        <w:tc>
          <w:tcPr>
            <w:tcW w:w="4593" w:type="dxa"/>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6个（检验样品3个，备用样品3个）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7"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1765"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其他标准</w:t>
            </w:r>
          </w:p>
        </w:tc>
        <w:tc>
          <w:tcPr>
            <w:tcW w:w="2028" w:type="dxa"/>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4593" w:type="dxa"/>
            <w:vAlign w:val="center"/>
          </w:tcPr>
          <w:p>
            <w:pPr>
              <w:keepNext w:val="0"/>
              <w:keepLines w:val="0"/>
              <w:pageBreakBefore w:val="0"/>
              <w:kinsoku/>
              <w:wordWrap/>
              <w:overflowPunct/>
              <w:topLinePunct w:val="0"/>
              <w:autoSpaceDE/>
              <w:autoSpaceDN/>
              <w:bidi w:val="0"/>
              <w:spacing w:line="240" w:lineRule="auto"/>
              <w:ind w:left="-160" w:leftChars="-50" w:right="-160" w:rightChars="-5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72个（检验样品36个，备用样品36个）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7" w:hRule="atLeast"/>
          <w:jc w:val="center"/>
        </w:trPr>
        <w:tc>
          <w:tcPr>
            <w:tcW w:w="9023" w:type="dxa"/>
            <w:gridSpan w:val="4"/>
            <w:vAlign w:val="center"/>
          </w:tcPr>
          <w:p>
            <w:pPr>
              <w:keepNext w:val="0"/>
              <w:keepLines w:val="0"/>
              <w:pageBreakBefore w:val="0"/>
              <w:kinsoku/>
              <w:wordWrap/>
              <w:overflowPunct/>
              <w:topLinePunct w:val="0"/>
              <w:autoSpaceDE/>
              <w:autoSpaceDN/>
              <w:bidi w:val="0"/>
              <w:spacing w:line="240" w:lineRule="auto"/>
              <w:jc w:val="left"/>
              <w:textAlignment w:val="auto"/>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color w:val="000000"/>
                <w:sz w:val="21"/>
                <w:szCs w:val="21"/>
              </w:rPr>
              <w:t>注：抽取检验样品或备用样品不足最小销售包装的整数倍时，抽取最小销售包装的整数倍，不破坏最小销售包装。</w:t>
            </w:r>
          </w:p>
        </w:tc>
      </w:tr>
    </w:tbl>
    <w:p>
      <w:pPr>
        <w:keepNext w:val="0"/>
        <w:keepLines w:val="0"/>
        <w:pageBreakBefore w:val="0"/>
        <w:kinsoku/>
        <w:wordWrap/>
        <w:overflowPunct/>
        <w:topLinePunct w:val="0"/>
        <w:autoSpaceDE/>
        <w:autoSpaceDN/>
        <w:bidi w:val="0"/>
        <w:snapToGrid w:val="0"/>
        <w:spacing w:line="240" w:lineRule="auto"/>
        <w:ind w:firstLine="420" w:firstLineChars="200"/>
        <w:textAlignment w:val="auto"/>
        <w:rPr>
          <w:rFonts w:hint="eastAsia" w:asciiTheme="minorEastAsia" w:hAnsiTheme="minorEastAsia" w:eastAsiaTheme="minorEastAsia" w:cstheme="minorEastAsia"/>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黑体" w:hAnsi="宋体" w:eastAsia="黑体"/>
          <w:sz w:val="21"/>
          <w:szCs w:val="21"/>
          <w:lang w:val="en-US" w:eastAsia="zh-CN"/>
        </w:rPr>
        <w:t>二、</w:t>
      </w:r>
      <w:r>
        <w:rPr>
          <w:rFonts w:hint="eastAsia" w:ascii="黑体" w:hAnsi="宋体" w:eastAsia="黑体"/>
          <w:sz w:val="21"/>
          <w:szCs w:val="21"/>
        </w:rPr>
        <w:t>主要检验项目及检验项目属性划分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一</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明示标准为GB 2626的非医用口罩</w:t>
      </w:r>
    </w:p>
    <w:tbl>
      <w:tblPr>
        <w:tblStyle w:val="6"/>
        <w:tblW w:w="83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866"/>
        <w:gridCol w:w="2100"/>
        <w:gridCol w:w="684"/>
        <w:gridCol w:w="750"/>
        <w:gridCol w:w="716"/>
        <w:gridCol w:w="767"/>
        <w:gridCol w:w="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86"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1866"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2100"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检验方法</w:t>
            </w:r>
          </w:p>
        </w:tc>
        <w:tc>
          <w:tcPr>
            <w:tcW w:w="68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强制性</w:t>
            </w:r>
          </w:p>
        </w:tc>
        <w:tc>
          <w:tcPr>
            <w:tcW w:w="750"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非强</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制性</w:t>
            </w:r>
          </w:p>
        </w:tc>
        <w:tc>
          <w:tcPr>
            <w:tcW w:w="716"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重要项</w:t>
            </w:r>
          </w:p>
        </w:tc>
        <w:tc>
          <w:tcPr>
            <w:tcW w:w="767"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较重</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要项</w:t>
            </w:r>
          </w:p>
        </w:tc>
        <w:tc>
          <w:tcPr>
            <w:tcW w:w="717"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86"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1866"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过滤效率</w:t>
            </w:r>
          </w:p>
        </w:tc>
        <w:tc>
          <w:tcPr>
            <w:tcW w:w="2100" w:type="dxa"/>
            <w:vMerge w:val="restart"/>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 2626-2006</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 2626-2019</w:t>
            </w:r>
          </w:p>
          <w:p>
            <w:pPr>
              <w:keepNext w:val="0"/>
              <w:keepLines w:val="0"/>
              <w:pageBreakBefore w:val="0"/>
              <w:kinsoku/>
              <w:wordWrap/>
              <w:overflowPunct/>
              <w:topLinePunct w:val="0"/>
              <w:autoSpaceDE/>
              <w:autoSpaceDN/>
              <w:bidi w:val="0"/>
              <w:snapToGrid w:val="0"/>
              <w:spacing w:line="240" w:lineRule="auto"/>
              <w:jc w:val="center"/>
              <w:textAlignment w:val="auto"/>
              <w:rPr>
                <w:rFonts w:hint="default" w:asciiTheme="minorEastAsia" w:hAnsiTheme="minorEastAsia" w:eastAsiaTheme="minorEastAsia" w:cstheme="minorEastAsia"/>
                <w:sz w:val="21"/>
                <w:szCs w:val="21"/>
                <w:lang w:val="en-US" w:eastAsia="zh-CN"/>
              </w:rPr>
            </w:pPr>
          </w:p>
        </w:tc>
        <w:tc>
          <w:tcPr>
            <w:tcW w:w="68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50" w:type="dxa"/>
            <w:vAlign w:val="center"/>
          </w:tcPr>
          <w:p>
            <w:pPr>
              <w:keepNext w:val="0"/>
              <w:keepLines w:val="0"/>
              <w:pageBreakBefore w:val="0"/>
              <w:widowControl/>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16"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67" w:type="dxa"/>
            <w:vAlign w:val="center"/>
          </w:tcPr>
          <w:p>
            <w:pPr>
              <w:keepNext w:val="0"/>
              <w:keepLines w:val="0"/>
              <w:pageBreakBefore w:val="0"/>
              <w:widowControl/>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17" w:type="dxa"/>
            <w:vAlign w:val="center"/>
          </w:tcPr>
          <w:p>
            <w:pPr>
              <w:keepNext w:val="0"/>
              <w:keepLines w:val="0"/>
              <w:pageBreakBefore w:val="0"/>
              <w:widowControl/>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86"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w:t>
            </w:r>
          </w:p>
        </w:tc>
        <w:tc>
          <w:tcPr>
            <w:tcW w:w="1866"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呼吸阻力</w:t>
            </w:r>
          </w:p>
        </w:tc>
        <w:tc>
          <w:tcPr>
            <w:tcW w:w="2100" w:type="dxa"/>
            <w:vMerge w:val="continue"/>
            <w:tcBorders/>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p>
        </w:tc>
        <w:tc>
          <w:tcPr>
            <w:tcW w:w="68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50" w:type="dxa"/>
            <w:vAlign w:val="center"/>
          </w:tcPr>
          <w:p>
            <w:pPr>
              <w:keepNext w:val="0"/>
              <w:keepLines w:val="0"/>
              <w:pageBreakBefore w:val="0"/>
              <w:widowControl/>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16" w:type="dxa"/>
            <w:vAlign w:val="center"/>
          </w:tcPr>
          <w:p>
            <w:pPr>
              <w:keepNext w:val="0"/>
              <w:keepLines w:val="0"/>
              <w:pageBreakBefore w:val="0"/>
              <w:widowControl/>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67"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17" w:type="dxa"/>
            <w:vAlign w:val="center"/>
          </w:tcPr>
          <w:p>
            <w:pPr>
              <w:keepNext w:val="0"/>
              <w:keepLines w:val="0"/>
              <w:pageBreakBefore w:val="0"/>
              <w:widowControl/>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86"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w:t>
            </w:r>
          </w:p>
        </w:tc>
        <w:tc>
          <w:tcPr>
            <w:tcW w:w="1866"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呼气阀气密性</w:t>
            </w:r>
          </w:p>
        </w:tc>
        <w:tc>
          <w:tcPr>
            <w:tcW w:w="2100" w:type="dxa"/>
            <w:vMerge w:val="continue"/>
            <w:tcBorders/>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p>
        </w:tc>
        <w:tc>
          <w:tcPr>
            <w:tcW w:w="68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50" w:type="dxa"/>
            <w:vAlign w:val="center"/>
          </w:tcPr>
          <w:p>
            <w:pPr>
              <w:keepNext w:val="0"/>
              <w:keepLines w:val="0"/>
              <w:pageBreakBefore w:val="0"/>
              <w:widowControl/>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16"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67" w:type="dxa"/>
            <w:vAlign w:val="center"/>
          </w:tcPr>
          <w:p>
            <w:pPr>
              <w:keepNext w:val="0"/>
              <w:keepLines w:val="0"/>
              <w:pageBreakBefore w:val="0"/>
              <w:widowControl/>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17" w:type="dxa"/>
            <w:vAlign w:val="center"/>
          </w:tcPr>
          <w:p>
            <w:pPr>
              <w:keepNext w:val="0"/>
              <w:keepLines w:val="0"/>
              <w:pageBreakBefore w:val="0"/>
              <w:widowControl/>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86"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4</w:t>
            </w:r>
          </w:p>
        </w:tc>
        <w:tc>
          <w:tcPr>
            <w:tcW w:w="1866"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头带</w:t>
            </w:r>
          </w:p>
        </w:tc>
        <w:tc>
          <w:tcPr>
            <w:tcW w:w="2100" w:type="dxa"/>
            <w:vMerge w:val="continue"/>
            <w:tcBorders/>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heme="minorEastAsia" w:hAnsiTheme="minorEastAsia" w:eastAsiaTheme="minorEastAsia" w:cstheme="minorEastAsia"/>
                <w:sz w:val="21"/>
                <w:szCs w:val="21"/>
                <w:lang w:val="en-US" w:eastAsia="zh-CN"/>
              </w:rPr>
            </w:pPr>
          </w:p>
        </w:tc>
        <w:tc>
          <w:tcPr>
            <w:tcW w:w="68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50"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16"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tc>
        <w:tc>
          <w:tcPr>
            <w:tcW w:w="767"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17"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p>
        </w:tc>
      </w:tr>
    </w:tbl>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二</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明示标准为</w:t>
      </w:r>
      <w:r>
        <w:rPr>
          <w:rFonts w:hint="eastAsia" w:asciiTheme="minorEastAsia" w:hAnsiTheme="minorEastAsia" w:eastAsiaTheme="minorEastAsia" w:cstheme="minorEastAsia"/>
          <w:sz w:val="21"/>
          <w:szCs w:val="21"/>
        </w:rPr>
        <w:t>GB/T 32610-2016</w:t>
      </w:r>
      <w:r>
        <w:rPr>
          <w:rFonts w:hint="eastAsia" w:asciiTheme="minorEastAsia" w:hAnsiTheme="minorEastAsia" w:eastAsiaTheme="minorEastAsia" w:cstheme="minorEastAsia"/>
          <w:color w:val="000000"/>
          <w:sz w:val="21"/>
          <w:szCs w:val="21"/>
        </w:rPr>
        <w:t>的非医用口罩</w:t>
      </w:r>
    </w:p>
    <w:tbl>
      <w:tblPr>
        <w:tblStyle w:val="6"/>
        <w:tblW w:w="84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2350"/>
        <w:gridCol w:w="1750"/>
        <w:gridCol w:w="767"/>
        <w:gridCol w:w="750"/>
        <w:gridCol w:w="700"/>
        <w:gridCol w:w="750"/>
        <w:gridCol w:w="660"/>
        <w:gridCol w:w="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blHeader/>
          <w:jc w:val="center"/>
        </w:trPr>
        <w:tc>
          <w:tcPr>
            <w:tcW w:w="659"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2350"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1750"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检验方法</w:t>
            </w:r>
          </w:p>
        </w:tc>
        <w:tc>
          <w:tcPr>
            <w:tcW w:w="767"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强制性</w:t>
            </w:r>
          </w:p>
        </w:tc>
        <w:tc>
          <w:tcPr>
            <w:tcW w:w="750"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非强</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制性</w:t>
            </w:r>
          </w:p>
        </w:tc>
        <w:tc>
          <w:tcPr>
            <w:tcW w:w="700"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重要项</w:t>
            </w:r>
          </w:p>
        </w:tc>
        <w:tc>
          <w:tcPr>
            <w:tcW w:w="750"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较重</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要项</w:t>
            </w:r>
          </w:p>
        </w:tc>
        <w:tc>
          <w:tcPr>
            <w:tcW w:w="676" w:type="dxa"/>
            <w:gridSpan w:val="2"/>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3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吸气阻力</w:t>
            </w:r>
          </w:p>
        </w:tc>
        <w:tc>
          <w:tcPr>
            <w:tcW w:w="1750" w:type="dxa"/>
            <w:vMerge w:val="restar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GB/T 32610-2016</w:t>
            </w:r>
          </w:p>
        </w:tc>
        <w:tc>
          <w:tcPr>
            <w:tcW w:w="7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76" w:type="dxa"/>
            <w:gridSpan w:val="2"/>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3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呼气阻力</w:t>
            </w:r>
          </w:p>
        </w:tc>
        <w:tc>
          <w:tcPr>
            <w:tcW w:w="1750" w:type="dxa"/>
            <w:vMerge w:val="continue"/>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76" w:type="dxa"/>
            <w:gridSpan w:val="2"/>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3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过滤效率</w:t>
            </w:r>
          </w:p>
        </w:tc>
        <w:tc>
          <w:tcPr>
            <w:tcW w:w="1750" w:type="dxa"/>
            <w:vMerge w:val="continue"/>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676" w:type="dxa"/>
            <w:gridSpan w:val="2"/>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3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口罩带及口罩带与口罩体的连接处断裂强力</w:t>
            </w:r>
          </w:p>
        </w:tc>
        <w:tc>
          <w:tcPr>
            <w:tcW w:w="1750" w:type="dxa"/>
            <w:vMerge w:val="continue"/>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76" w:type="dxa"/>
            <w:gridSpan w:val="2"/>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6" w:type="dxa"/>
          <w:trHeight w:val="567" w:hRule="atLeast"/>
          <w:jc w:val="center"/>
        </w:trPr>
        <w:tc>
          <w:tcPr>
            <w:tcW w:w="8386" w:type="dxa"/>
            <w:gridSpan w:val="8"/>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21"/>
                <w:szCs w:val="21"/>
              </w:rPr>
              <w:t>注：过滤效率包括盐性颗粒物过滤效率、油性颗粒物过滤效率、细菌过滤效率，以明示标准要求为准。</w:t>
            </w:r>
          </w:p>
        </w:tc>
      </w:tr>
    </w:tbl>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lang w:eastAsia="zh-CN"/>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三</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明示标准为</w:t>
      </w:r>
      <w:r>
        <w:rPr>
          <w:rFonts w:hint="eastAsia" w:asciiTheme="minorEastAsia" w:hAnsiTheme="minorEastAsia" w:eastAsiaTheme="minorEastAsia" w:cstheme="minorEastAsia"/>
          <w:sz w:val="21"/>
          <w:szCs w:val="21"/>
        </w:rPr>
        <w:t>GB/T 38880-2020</w:t>
      </w:r>
      <w:r>
        <w:rPr>
          <w:rFonts w:hint="eastAsia" w:asciiTheme="minorEastAsia" w:hAnsiTheme="minorEastAsia" w:eastAsiaTheme="minorEastAsia" w:cstheme="minorEastAsia"/>
          <w:color w:val="000000"/>
          <w:sz w:val="21"/>
          <w:szCs w:val="21"/>
        </w:rPr>
        <w:t>的非医用口罩</w:t>
      </w:r>
    </w:p>
    <w:tbl>
      <w:tblPr>
        <w:tblStyle w:val="6"/>
        <w:tblW w:w="83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1834"/>
        <w:gridCol w:w="1983"/>
        <w:gridCol w:w="833"/>
        <w:gridCol w:w="700"/>
        <w:gridCol w:w="767"/>
        <w:gridCol w:w="783"/>
        <w:gridCol w:w="6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802"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183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19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检验方法</w:t>
            </w:r>
          </w:p>
        </w:tc>
        <w:tc>
          <w:tcPr>
            <w:tcW w:w="83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强制性</w:t>
            </w:r>
          </w:p>
        </w:tc>
        <w:tc>
          <w:tcPr>
            <w:tcW w:w="700"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非强</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制性</w:t>
            </w:r>
          </w:p>
        </w:tc>
        <w:tc>
          <w:tcPr>
            <w:tcW w:w="767"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重要项</w:t>
            </w:r>
          </w:p>
        </w:tc>
        <w:tc>
          <w:tcPr>
            <w:tcW w:w="783"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较重</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要项</w:t>
            </w:r>
          </w:p>
        </w:tc>
        <w:tc>
          <w:tcPr>
            <w:tcW w:w="68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8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颗粒物过滤效率</w:t>
            </w:r>
          </w:p>
        </w:tc>
        <w:tc>
          <w:tcPr>
            <w:tcW w:w="1983" w:type="dxa"/>
            <w:vMerge w:val="restar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GB/T 38880-2020</w:t>
            </w:r>
          </w:p>
        </w:tc>
        <w:tc>
          <w:tcPr>
            <w:tcW w:w="83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6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8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吸气阻力</w:t>
            </w:r>
          </w:p>
        </w:tc>
        <w:tc>
          <w:tcPr>
            <w:tcW w:w="1983" w:type="dxa"/>
            <w:vMerge w:val="continue"/>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3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8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18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呼气阻力</w:t>
            </w:r>
          </w:p>
        </w:tc>
        <w:tc>
          <w:tcPr>
            <w:tcW w:w="1983" w:type="dxa"/>
            <w:vMerge w:val="continue"/>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3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8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18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通气阻力</w:t>
            </w:r>
          </w:p>
        </w:tc>
        <w:tc>
          <w:tcPr>
            <w:tcW w:w="1983" w:type="dxa"/>
            <w:vMerge w:val="continue"/>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3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8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6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bl>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四</w:t>
      </w:r>
      <w:r>
        <w:rPr>
          <w:rFonts w:hint="eastAsia" w:asciiTheme="minorEastAsia" w:hAnsiTheme="minorEastAsia" w:eastAsiaTheme="minorEastAsia" w:cstheme="minorEastAsia"/>
          <w:color w:val="000000"/>
          <w:sz w:val="21"/>
          <w:szCs w:val="21"/>
          <w:lang w:eastAsia="zh-CN"/>
        </w:rPr>
        <w:t>）明示产品标准为T/GDMDMA 0005-2020</w:t>
      </w:r>
    </w:p>
    <w:tbl>
      <w:tblPr>
        <w:tblStyle w:val="6"/>
        <w:tblW w:w="8656" w:type="dxa"/>
        <w:tblInd w:w="0" w:type="dxa"/>
        <w:tblLayout w:type="fixed"/>
        <w:tblCellMar>
          <w:top w:w="15" w:type="dxa"/>
          <w:left w:w="15" w:type="dxa"/>
          <w:bottom w:w="15" w:type="dxa"/>
          <w:right w:w="15" w:type="dxa"/>
        </w:tblCellMar>
      </w:tblPr>
      <w:tblGrid>
        <w:gridCol w:w="744"/>
        <w:gridCol w:w="1800"/>
        <w:gridCol w:w="2184"/>
        <w:gridCol w:w="733"/>
        <w:gridCol w:w="800"/>
        <w:gridCol w:w="783"/>
        <w:gridCol w:w="767"/>
        <w:gridCol w:w="845"/>
      </w:tblGrid>
      <w:tr>
        <w:tblPrEx>
          <w:tblLayout w:type="fixed"/>
          <w:tblCellMar>
            <w:top w:w="15" w:type="dxa"/>
            <w:left w:w="15" w:type="dxa"/>
            <w:bottom w:w="15" w:type="dxa"/>
            <w:right w:w="15" w:type="dxa"/>
          </w:tblCellMar>
        </w:tblPrEx>
        <w:trPr>
          <w:trHeight w:val="850" w:hRule="atLeast"/>
        </w:trPr>
        <w:tc>
          <w:tcPr>
            <w:tcW w:w="744" w:type="dxa"/>
            <w:tcBorders>
              <w:top w:val="single" w:color="000000" w:sz="8" w:space="0"/>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序号</w:t>
            </w:r>
          </w:p>
        </w:tc>
        <w:tc>
          <w:tcPr>
            <w:tcW w:w="1800"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检验项目</w:t>
            </w:r>
          </w:p>
        </w:tc>
        <w:tc>
          <w:tcPr>
            <w:tcW w:w="2184"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检验方法</w:t>
            </w:r>
          </w:p>
        </w:tc>
        <w:tc>
          <w:tcPr>
            <w:tcW w:w="733"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强制性</w:t>
            </w:r>
          </w:p>
        </w:tc>
        <w:tc>
          <w:tcPr>
            <w:tcW w:w="800"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非强</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制性</w:t>
            </w:r>
          </w:p>
        </w:tc>
        <w:tc>
          <w:tcPr>
            <w:tcW w:w="783"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重要项</w:t>
            </w:r>
          </w:p>
        </w:tc>
        <w:tc>
          <w:tcPr>
            <w:tcW w:w="767"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较重</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要项</w:t>
            </w:r>
          </w:p>
        </w:tc>
        <w:tc>
          <w:tcPr>
            <w:tcW w:w="845"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次要项</w:t>
            </w:r>
          </w:p>
        </w:tc>
      </w:tr>
      <w:tr>
        <w:tblPrEx>
          <w:tblLayout w:type="fixed"/>
          <w:tblCellMar>
            <w:top w:w="15" w:type="dxa"/>
            <w:left w:w="15" w:type="dxa"/>
            <w:bottom w:w="15" w:type="dxa"/>
            <w:right w:w="15" w:type="dxa"/>
          </w:tblCellMar>
        </w:tblPrEx>
        <w:tc>
          <w:tcPr>
            <w:tcW w:w="744"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800"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细菌过滤效率</w:t>
            </w:r>
          </w:p>
        </w:tc>
        <w:tc>
          <w:tcPr>
            <w:tcW w:w="2184" w:type="dxa"/>
            <w:vMerge w:val="restart"/>
            <w:tcBorders>
              <w:top w:val="nil"/>
              <w:left w:val="nil"/>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T/GDMDMA 0005-2020</w:t>
            </w:r>
          </w:p>
        </w:tc>
        <w:tc>
          <w:tcPr>
            <w:tcW w:w="733"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00"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3"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67"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4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744"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800"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颗粒</w:t>
            </w:r>
            <w:r>
              <w:rPr>
                <w:rFonts w:hint="eastAsia" w:asciiTheme="minorEastAsia" w:hAnsiTheme="minorEastAsia" w:eastAsiaTheme="minorEastAsia" w:cstheme="minorEastAsia"/>
                <w:sz w:val="21"/>
                <w:szCs w:val="21"/>
                <w:lang w:val="en-US" w:eastAsia="zh-CN"/>
              </w:rPr>
              <w:t>物</w:t>
            </w:r>
            <w:r>
              <w:rPr>
                <w:rFonts w:hint="eastAsia" w:asciiTheme="minorEastAsia" w:hAnsiTheme="minorEastAsia" w:eastAsiaTheme="minorEastAsia" w:cstheme="minorEastAsia"/>
                <w:sz w:val="21"/>
                <w:szCs w:val="21"/>
              </w:rPr>
              <w:t>过滤效率</w:t>
            </w:r>
          </w:p>
        </w:tc>
        <w:tc>
          <w:tcPr>
            <w:tcW w:w="2184" w:type="dxa"/>
            <w:vMerge w:val="continue"/>
            <w:tcBorders>
              <w:left w:val="nil"/>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33"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00"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3"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67"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4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744"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1800"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通气阻力</w:t>
            </w:r>
          </w:p>
        </w:tc>
        <w:tc>
          <w:tcPr>
            <w:tcW w:w="2184" w:type="dxa"/>
            <w:vMerge w:val="continue"/>
            <w:tcBorders>
              <w:left w:val="nil"/>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33"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00"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3"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67"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4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744"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1800"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微生物</w:t>
            </w:r>
          </w:p>
        </w:tc>
        <w:tc>
          <w:tcPr>
            <w:tcW w:w="2184" w:type="dxa"/>
            <w:vMerge w:val="continue"/>
            <w:tcBorders>
              <w:left w:val="nil"/>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33"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00"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3"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67"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4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744"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1800"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无菌试验</w:t>
            </w:r>
          </w:p>
        </w:tc>
        <w:tc>
          <w:tcPr>
            <w:tcW w:w="2184" w:type="dxa"/>
            <w:vMerge w:val="continue"/>
            <w:tcBorders>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33"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00"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83"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67"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4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8656" w:type="dxa"/>
            <w:gridSpan w:val="8"/>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注：</w:t>
            </w: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非灭菌型口罩做微生物，灭菌型口罩做无菌试验</w:t>
            </w:r>
            <w:r>
              <w:rPr>
                <w:rFonts w:hint="eastAsia" w:asciiTheme="minorEastAsia" w:hAnsiTheme="minorEastAsia" w:eastAsiaTheme="minorEastAsia" w:cstheme="minorEastAsia"/>
                <w:sz w:val="21"/>
                <w:szCs w:val="21"/>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 xml:space="preserve">微生物、无菌试验不进行复检。 </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五</w:t>
      </w:r>
      <w:r>
        <w:rPr>
          <w:rFonts w:hint="eastAsia" w:asciiTheme="minorEastAsia" w:hAnsiTheme="minorEastAsia" w:eastAsiaTheme="minorEastAsia" w:cstheme="minorEastAsia"/>
          <w:color w:val="000000"/>
          <w:sz w:val="21"/>
          <w:szCs w:val="21"/>
          <w:lang w:eastAsia="zh-CN"/>
        </w:rPr>
        <w:t>）明示产品标准为T/GDBX 025-2020</w:t>
      </w:r>
    </w:p>
    <w:tbl>
      <w:tblPr>
        <w:tblStyle w:val="6"/>
        <w:tblW w:w="8712" w:type="dxa"/>
        <w:tblInd w:w="-56" w:type="dxa"/>
        <w:tblLayout w:type="fixed"/>
        <w:tblCellMar>
          <w:top w:w="15" w:type="dxa"/>
          <w:left w:w="15" w:type="dxa"/>
          <w:bottom w:w="15" w:type="dxa"/>
          <w:right w:w="15" w:type="dxa"/>
        </w:tblCellMar>
      </w:tblPr>
      <w:tblGrid>
        <w:gridCol w:w="734"/>
        <w:gridCol w:w="2416"/>
        <w:gridCol w:w="1876"/>
        <w:gridCol w:w="709"/>
        <w:gridCol w:w="708"/>
        <w:gridCol w:w="709"/>
        <w:gridCol w:w="855"/>
        <w:gridCol w:w="705"/>
      </w:tblGrid>
      <w:tr>
        <w:tblPrEx>
          <w:tblLayout w:type="fixed"/>
          <w:tblCellMar>
            <w:top w:w="15" w:type="dxa"/>
            <w:left w:w="15" w:type="dxa"/>
            <w:bottom w:w="15" w:type="dxa"/>
            <w:right w:w="15" w:type="dxa"/>
          </w:tblCellMar>
        </w:tblPrEx>
        <w:tc>
          <w:tcPr>
            <w:tcW w:w="734" w:type="dxa"/>
            <w:tcBorders>
              <w:top w:val="single" w:color="000000" w:sz="8" w:space="0"/>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pacing w:val="-6"/>
                <w:sz w:val="21"/>
                <w:szCs w:val="21"/>
              </w:rPr>
            </w:pPr>
            <w:r>
              <w:rPr>
                <w:rFonts w:hint="eastAsia" w:asciiTheme="minorEastAsia" w:hAnsiTheme="minorEastAsia" w:eastAsiaTheme="minorEastAsia" w:cstheme="minorEastAsia"/>
                <w:color w:val="000000"/>
                <w:spacing w:val="-6"/>
                <w:sz w:val="21"/>
                <w:szCs w:val="21"/>
              </w:rPr>
              <w:t>序号</w:t>
            </w:r>
          </w:p>
        </w:tc>
        <w:tc>
          <w:tcPr>
            <w:tcW w:w="2416"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pacing w:val="-6"/>
                <w:sz w:val="21"/>
                <w:szCs w:val="21"/>
              </w:rPr>
            </w:pPr>
            <w:r>
              <w:rPr>
                <w:rFonts w:hint="eastAsia" w:asciiTheme="minorEastAsia" w:hAnsiTheme="minorEastAsia" w:eastAsiaTheme="minorEastAsia" w:cstheme="minorEastAsia"/>
                <w:color w:val="000000"/>
                <w:spacing w:val="-6"/>
                <w:sz w:val="21"/>
                <w:szCs w:val="21"/>
              </w:rPr>
              <w:t>检验项目</w:t>
            </w:r>
          </w:p>
        </w:tc>
        <w:tc>
          <w:tcPr>
            <w:tcW w:w="1876"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pacing w:val="-6"/>
                <w:sz w:val="21"/>
                <w:szCs w:val="21"/>
              </w:rPr>
            </w:pPr>
            <w:r>
              <w:rPr>
                <w:rFonts w:hint="eastAsia" w:asciiTheme="minorEastAsia" w:hAnsiTheme="minorEastAsia" w:eastAsiaTheme="minorEastAsia" w:cstheme="minorEastAsia"/>
                <w:color w:val="000000"/>
                <w:spacing w:val="-6"/>
                <w:sz w:val="21"/>
                <w:szCs w:val="21"/>
              </w:rPr>
              <w:t>检验方法</w:t>
            </w:r>
          </w:p>
        </w:tc>
        <w:tc>
          <w:tcPr>
            <w:tcW w:w="709"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pacing w:val="-6"/>
                <w:sz w:val="21"/>
                <w:szCs w:val="21"/>
              </w:rPr>
            </w:pPr>
            <w:r>
              <w:rPr>
                <w:rFonts w:hint="eastAsia" w:asciiTheme="minorEastAsia" w:hAnsiTheme="minorEastAsia" w:eastAsiaTheme="minorEastAsia" w:cstheme="minorEastAsia"/>
                <w:color w:val="000000"/>
                <w:spacing w:val="-6"/>
                <w:sz w:val="21"/>
                <w:szCs w:val="21"/>
              </w:rPr>
              <w:t>强制性</w:t>
            </w:r>
          </w:p>
        </w:tc>
        <w:tc>
          <w:tcPr>
            <w:tcW w:w="708"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pacing w:val="-6"/>
                <w:sz w:val="21"/>
                <w:szCs w:val="21"/>
              </w:rPr>
            </w:pPr>
            <w:r>
              <w:rPr>
                <w:rFonts w:hint="eastAsia" w:asciiTheme="minorEastAsia" w:hAnsiTheme="minorEastAsia" w:eastAsiaTheme="minorEastAsia" w:cstheme="minorEastAsia"/>
                <w:color w:val="000000"/>
                <w:spacing w:val="-6"/>
                <w:sz w:val="21"/>
                <w:szCs w:val="21"/>
              </w:rPr>
              <w:t>非强</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pacing w:val="-6"/>
                <w:sz w:val="21"/>
                <w:szCs w:val="21"/>
              </w:rPr>
            </w:pPr>
            <w:r>
              <w:rPr>
                <w:rFonts w:hint="eastAsia" w:asciiTheme="minorEastAsia" w:hAnsiTheme="minorEastAsia" w:eastAsiaTheme="minorEastAsia" w:cstheme="minorEastAsia"/>
                <w:color w:val="000000"/>
                <w:spacing w:val="-6"/>
                <w:sz w:val="21"/>
                <w:szCs w:val="21"/>
              </w:rPr>
              <w:t>制性</w:t>
            </w:r>
          </w:p>
        </w:tc>
        <w:tc>
          <w:tcPr>
            <w:tcW w:w="709"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pacing w:val="-6"/>
                <w:sz w:val="21"/>
                <w:szCs w:val="21"/>
              </w:rPr>
            </w:pPr>
            <w:r>
              <w:rPr>
                <w:rFonts w:hint="eastAsia" w:asciiTheme="minorEastAsia" w:hAnsiTheme="minorEastAsia" w:eastAsiaTheme="minorEastAsia" w:cstheme="minorEastAsia"/>
                <w:color w:val="000000"/>
                <w:spacing w:val="-6"/>
                <w:sz w:val="21"/>
                <w:szCs w:val="21"/>
              </w:rPr>
              <w:t>重要项</w:t>
            </w:r>
          </w:p>
        </w:tc>
        <w:tc>
          <w:tcPr>
            <w:tcW w:w="855"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pacing w:val="-6"/>
                <w:sz w:val="21"/>
                <w:szCs w:val="21"/>
              </w:rPr>
            </w:pPr>
            <w:r>
              <w:rPr>
                <w:rFonts w:hint="eastAsia" w:asciiTheme="minorEastAsia" w:hAnsiTheme="minorEastAsia" w:eastAsiaTheme="minorEastAsia" w:cstheme="minorEastAsia"/>
                <w:color w:val="000000"/>
                <w:spacing w:val="-6"/>
                <w:sz w:val="21"/>
                <w:szCs w:val="21"/>
              </w:rPr>
              <w:t>较重</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pacing w:val="-6"/>
                <w:sz w:val="21"/>
                <w:szCs w:val="21"/>
              </w:rPr>
            </w:pPr>
            <w:r>
              <w:rPr>
                <w:rFonts w:hint="eastAsia" w:asciiTheme="minorEastAsia" w:hAnsiTheme="minorEastAsia" w:eastAsiaTheme="minorEastAsia" w:cstheme="minorEastAsia"/>
                <w:color w:val="000000"/>
                <w:spacing w:val="-6"/>
                <w:sz w:val="21"/>
                <w:szCs w:val="21"/>
              </w:rPr>
              <w:t>要项</w:t>
            </w:r>
          </w:p>
        </w:tc>
        <w:tc>
          <w:tcPr>
            <w:tcW w:w="705"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heme="minorEastAsia" w:hAnsiTheme="minorEastAsia" w:eastAsiaTheme="minorEastAsia" w:cstheme="minorEastAsia"/>
                <w:color w:val="000000"/>
                <w:spacing w:val="-6"/>
                <w:sz w:val="21"/>
                <w:szCs w:val="21"/>
              </w:rPr>
            </w:pPr>
            <w:r>
              <w:rPr>
                <w:rFonts w:hint="eastAsia" w:asciiTheme="minorEastAsia" w:hAnsiTheme="minorEastAsia" w:eastAsiaTheme="minorEastAsia" w:cstheme="minorEastAsia"/>
                <w:color w:val="000000"/>
                <w:spacing w:val="-6"/>
                <w:sz w:val="21"/>
                <w:szCs w:val="21"/>
              </w:rPr>
              <w:t>次要项</w:t>
            </w:r>
          </w:p>
        </w:tc>
      </w:tr>
      <w:tr>
        <w:tblPrEx>
          <w:tblLayout w:type="fixed"/>
          <w:tblCellMar>
            <w:top w:w="15" w:type="dxa"/>
            <w:left w:w="15" w:type="dxa"/>
            <w:bottom w:w="15" w:type="dxa"/>
            <w:right w:w="15" w:type="dxa"/>
          </w:tblCellMar>
        </w:tblPrEx>
        <w:tc>
          <w:tcPr>
            <w:tcW w:w="734"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416"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口罩带及口罩带与口罩体的连接处断裂强力</w:t>
            </w:r>
          </w:p>
        </w:tc>
        <w:tc>
          <w:tcPr>
            <w:tcW w:w="1876" w:type="dxa"/>
            <w:vMerge w:val="restart"/>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2"/>
                <w:sz w:val="21"/>
                <w:szCs w:val="21"/>
              </w:rPr>
              <w:t>T/GDBX 025-2020</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85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734"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416"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细菌过滤效率</w:t>
            </w:r>
          </w:p>
        </w:tc>
        <w:tc>
          <w:tcPr>
            <w:tcW w:w="1876" w:type="dxa"/>
            <w:vMerge w:val="continue"/>
            <w:tcBorders>
              <w:left w:val="nil"/>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5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734"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416"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颗粒</w:t>
            </w:r>
            <w:r>
              <w:rPr>
                <w:rFonts w:hint="eastAsia" w:asciiTheme="minorEastAsia" w:hAnsiTheme="minorEastAsia" w:eastAsiaTheme="minorEastAsia" w:cstheme="minorEastAsia"/>
                <w:sz w:val="21"/>
                <w:szCs w:val="21"/>
                <w:lang w:val="en-US" w:eastAsia="zh-CN"/>
              </w:rPr>
              <w:t>物</w:t>
            </w:r>
            <w:r>
              <w:rPr>
                <w:rFonts w:hint="eastAsia" w:asciiTheme="minorEastAsia" w:hAnsiTheme="minorEastAsia" w:eastAsiaTheme="minorEastAsia" w:cstheme="minorEastAsia"/>
                <w:sz w:val="21"/>
                <w:szCs w:val="21"/>
              </w:rPr>
              <w:t>过滤效率</w:t>
            </w:r>
          </w:p>
        </w:tc>
        <w:tc>
          <w:tcPr>
            <w:tcW w:w="1876" w:type="dxa"/>
            <w:vMerge w:val="continue"/>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5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734"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416"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通气阻力</w:t>
            </w:r>
          </w:p>
        </w:tc>
        <w:tc>
          <w:tcPr>
            <w:tcW w:w="1876" w:type="dxa"/>
            <w:vMerge w:val="continue"/>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85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734"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2416"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微生物</w:t>
            </w:r>
          </w:p>
        </w:tc>
        <w:tc>
          <w:tcPr>
            <w:tcW w:w="1876" w:type="dxa"/>
            <w:vMerge w:val="continue"/>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5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734"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2416"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无菌试验</w:t>
            </w:r>
          </w:p>
        </w:tc>
        <w:tc>
          <w:tcPr>
            <w:tcW w:w="1876"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5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8712" w:type="dxa"/>
            <w:gridSpan w:val="8"/>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widowControl/>
              <w:tabs>
                <w:tab w:val="left" w:pos="492"/>
              </w:tabs>
              <w:spacing w:line="2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w:t>
            </w: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非灭菌型口罩做微生物，灭菌型口罩做无菌试验。</w:t>
            </w:r>
          </w:p>
          <w:p>
            <w:pPr>
              <w:widowControl/>
              <w:tabs>
                <w:tab w:val="left" w:pos="492"/>
              </w:tabs>
              <w:spacing w:line="240" w:lineRule="exact"/>
              <w:ind w:firstLine="420" w:firstLineChars="200"/>
              <w:jc w:val="left"/>
              <w:rPr>
                <w:rFonts w:ascii="Times New Roman" w:hAnsi="Times New Roman" w:eastAsia="仿宋_GB2312"/>
                <w:sz w:val="18"/>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 xml:space="preserve">微生物、无菌试验不进行复检。 </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六</w:t>
      </w:r>
      <w:r>
        <w:rPr>
          <w:rFonts w:hint="eastAsia" w:asciiTheme="minorEastAsia" w:hAnsiTheme="minorEastAsia" w:eastAsiaTheme="minorEastAsia" w:cstheme="minorEastAsia"/>
          <w:color w:val="000000"/>
          <w:sz w:val="21"/>
          <w:szCs w:val="21"/>
          <w:lang w:eastAsia="zh-CN"/>
        </w:rPr>
        <w:t>）明示产品标准为T/CTCA 7-2019</w:t>
      </w:r>
    </w:p>
    <w:tbl>
      <w:tblPr>
        <w:tblStyle w:val="6"/>
        <w:tblW w:w="8712" w:type="dxa"/>
        <w:tblInd w:w="-57" w:type="dxa"/>
        <w:tblLayout w:type="fixed"/>
        <w:tblCellMar>
          <w:top w:w="15" w:type="dxa"/>
          <w:left w:w="15" w:type="dxa"/>
          <w:bottom w:w="15" w:type="dxa"/>
          <w:right w:w="15" w:type="dxa"/>
        </w:tblCellMar>
      </w:tblPr>
      <w:tblGrid>
        <w:gridCol w:w="747"/>
        <w:gridCol w:w="2403"/>
        <w:gridCol w:w="1876"/>
        <w:gridCol w:w="709"/>
        <w:gridCol w:w="708"/>
        <w:gridCol w:w="709"/>
        <w:gridCol w:w="855"/>
        <w:gridCol w:w="705"/>
      </w:tblGrid>
      <w:tr>
        <w:tblPrEx>
          <w:tblLayout w:type="fixed"/>
          <w:tblCellMar>
            <w:top w:w="15" w:type="dxa"/>
            <w:left w:w="15" w:type="dxa"/>
            <w:bottom w:w="15" w:type="dxa"/>
            <w:right w:w="15" w:type="dxa"/>
          </w:tblCellMar>
        </w:tblPrEx>
        <w:trPr>
          <w:trHeight w:val="0" w:hRule="atLeast"/>
        </w:trPr>
        <w:tc>
          <w:tcPr>
            <w:tcW w:w="747" w:type="dxa"/>
            <w:tcBorders>
              <w:top w:val="single" w:color="000000" w:sz="8" w:space="0"/>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序号</w:t>
            </w:r>
          </w:p>
        </w:tc>
        <w:tc>
          <w:tcPr>
            <w:tcW w:w="2403"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检验项目</w:t>
            </w:r>
          </w:p>
        </w:tc>
        <w:tc>
          <w:tcPr>
            <w:tcW w:w="1876"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检验方法</w:t>
            </w:r>
          </w:p>
        </w:tc>
        <w:tc>
          <w:tcPr>
            <w:tcW w:w="709"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强制性</w:t>
            </w:r>
          </w:p>
        </w:tc>
        <w:tc>
          <w:tcPr>
            <w:tcW w:w="708"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color w:val="000000"/>
                <w:spacing w:val="-6"/>
                <w:sz w:val="21"/>
                <w:szCs w:val="21"/>
              </w:rPr>
            </w:pPr>
            <w:r>
              <w:rPr>
                <w:rFonts w:hint="eastAsia" w:asciiTheme="minorEastAsia" w:hAnsiTheme="minorEastAsia" w:eastAsiaTheme="minorEastAsia" w:cstheme="minorEastAsia"/>
                <w:color w:val="000000"/>
                <w:spacing w:val="-6"/>
                <w:sz w:val="21"/>
                <w:szCs w:val="21"/>
              </w:rPr>
              <w:t>非强</w:t>
            </w:r>
          </w:p>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制性</w:t>
            </w:r>
          </w:p>
        </w:tc>
        <w:tc>
          <w:tcPr>
            <w:tcW w:w="709"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重要项</w:t>
            </w:r>
          </w:p>
        </w:tc>
        <w:tc>
          <w:tcPr>
            <w:tcW w:w="855"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color w:val="000000"/>
                <w:spacing w:val="-6"/>
                <w:sz w:val="21"/>
                <w:szCs w:val="21"/>
              </w:rPr>
            </w:pPr>
            <w:r>
              <w:rPr>
                <w:rFonts w:hint="eastAsia" w:asciiTheme="minorEastAsia" w:hAnsiTheme="minorEastAsia" w:eastAsiaTheme="minorEastAsia" w:cstheme="minorEastAsia"/>
                <w:color w:val="000000"/>
                <w:spacing w:val="-6"/>
                <w:sz w:val="21"/>
                <w:szCs w:val="21"/>
              </w:rPr>
              <w:t>较重</w:t>
            </w:r>
          </w:p>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要项</w:t>
            </w:r>
          </w:p>
        </w:tc>
        <w:tc>
          <w:tcPr>
            <w:tcW w:w="705"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次要项</w:t>
            </w:r>
          </w:p>
        </w:tc>
      </w:tr>
      <w:tr>
        <w:tblPrEx>
          <w:tblLayout w:type="fixed"/>
          <w:tblCellMar>
            <w:top w:w="15" w:type="dxa"/>
            <w:left w:w="15" w:type="dxa"/>
            <w:bottom w:w="15" w:type="dxa"/>
            <w:right w:w="15" w:type="dxa"/>
          </w:tblCellMar>
        </w:tblPrEx>
        <w:trPr>
          <w:trHeight w:val="0" w:hRule="atLeast"/>
        </w:trPr>
        <w:tc>
          <w:tcPr>
            <w:tcW w:w="747"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403"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口罩带及口罩带与口罩体的连接处断裂强力</w:t>
            </w:r>
          </w:p>
        </w:tc>
        <w:tc>
          <w:tcPr>
            <w:tcW w:w="1876" w:type="dxa"/>
            <w:vMerge w:val="restart"/>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T/CTCA 7-2019</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c>
          <w:tcPr>
            <w:tcW w:w="85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rPr>
          <w:trHeight w:val="0" w:hRule="atLeast"/>
        </w:trPr>
        <w:tc>
          <w:tcPr>
            <w:tcW w:w="747"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403"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细菌过滤效率</w:t>
            </w:r>
          </w:p>
        </w:tc>
        <w:tc>
          <w:tcPr>
            <w:tcW w:w="1876" w:type="dxa"/>
            <w:vMerge w:val="continue"/>
            <w:tcBorders>
              <w:left w:val="nil"/>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5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c>
          <w:tcPr>
            <w:tcW w:w="70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rPr>
          <w:trHeight w:val="0" w:hRule="atLeast"/>
        </w:trPr>
        <w:tc>
          <w:tcPr>
            <w:tcW w:w="747"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403"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颗粒</w:t>
            </w:r>
            <w:r>
              <w:rPr>
                <w:rFonts w:hint="eastAsia" w:asciiTheme="minorEastAsia" w:hAnsiTheme="minorEastAsia" w:eastAsiaTheme="minorEastAsia" w:cstheme="minorEastAsia"/>
                <w:sz w:val="21"/>
                <w:szCs w:val="21"/>
                <w:lang w:val="en-US" w:eastAsia="zh-CN"/>
              </w:rPr>
              <w:t>物</w:t>
            </w:r>
            <w:r>
              <w:rPr>
                <w:rFonts w:hint="eastAsia" w:asciiTheme="minorEastAsia" w:hAnsiTheme="minorEastAsia" w:eastAsiaTheme="minorEastAsia" w:cstheme="minorEastAsia"/>
                <w:sz w:val="21"/>
                <w:szCs w:val="21"/>
              </w:rPr>
              <w:t>过滤效率</w:t>
            </w:r>
          </w:p>
        </w:tc>
        <w:tc>
          <w:tcPr>
            <w:tcW w:w="1876" w:type="dxa"/>
            <w:vMerge w:val="continue"/>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5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c>
          <w:tcPr>
            <w:tcW w:w="70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rPr>
          <w:trHeight w:val="0" w:hRule="atLeast"/>
        </w:trPr>
        <w:tc>
          <w:tcPr>
            <w:tcW w:w="747"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403"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通气阻力</w:t>
            </w:r>
          </w:p>
        </w:tc>
        <w:tc>
          <w:tcPr>
            <w:tcW w:w="1876" w:type="dxa"/>
            <w:vMerge w:val="continue"/>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c>
          <w:tcPr>
            <w:tcW w:w="85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rPr>
          <w:trHeight w:val="0" w:hRule="atLeast"/>
        </w:trPr>
        <w:tc>
          <w:tcPr>
            <w:tcW w:w="747" w:type="dxa"/>
            <w:tcBorders>
              <w:top w:val="nil"/>
              <w:left w:val="single" w:color="000000" w:sz="8" w:space="0"/>
              <w:bottom w:val="single" w:color="auto" w:sz="4"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2403" w:type="dxa"/>
            <w:tcBorders>
              <w:top w:val="nil"/>
              <w:left w:val="nil"/>
              <w:bottom w:val="single" w:color="auto" w:sz="4"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微生物</w:t>
            </w:r>
          </w:p>
        </w:tc>
        <w:tc>
          <w:tcPr>
            <w:tcW w:w="1876" w:type="dxa"/>
            <w:vMerge w:val="continue"/>
            <w:tcBorders>
              <w:top w:val="nil"/>
              <w:left w:val="nil"/>
              <w:bottom w:val="single" w:color="auto" w:sz="4"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c>
          <w:tcPr>
            <w:tcW w:w="709" w:type="dxa"/>
            <w:tcBorders>
              <w:top w:val="nil"/>
              <w:left w:val="nil"/>
              <w:bottom w:val="single" w:color="auto" w:sz="4"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auto" w:sz="4"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auto" w:sz="4"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55" w:type="dxa"/>
            <w:tcBorders>
              <w:top w:val="nil"/>
              <w:left w:val="nil"/>
              <w:bottom w:val="single" w:color="auto" w:sz="4"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c>
          <w:tcPr>
            <w:tcW w:w="705" w:type="dxa"/>
            <w:tcBorders>
              <w:top w:val="nil"/>
              <w:left w:val="nil"/>
              <w:bottom w:val="single" w:color="auto" w:sz="4"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rPr>
          <w:trHeight w:val="0" w:hRule="atLeast"/>
        </w:trPr>
        <w:tc>
          <w:tcPr>
            <w:tcW w:w="8712" w:type="dxa"/>
            <w:gridSpan w:val="8"/>
            <w:tcBorders>
              <w:top w:val="single" w:color="auto" w:sz="4" w:space="0"/>
              <w:left w:val="single" w:color="auto" w:sz="4" w:space="0"/>
              <w:bottom w:val="single" w:color="auto" w:sz="4" w:space="0"/>
              <w:right w:val="single" w:color="auto" w:sz="4"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pacing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注：微生物不进行复检。</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七</w:t>
      </w:r>
      <w:r>
        <w:rPr>
          <w:rFonts w:hint="eastAsia" w:asciiTheme="minorEastAsia" w:hAnsiTheme="minorEastAsia" w:eastAsiaTheme="minorEastAsia" w:cstheme="minorEastAsia"/>
          <w:color w:val="000000"/>
          <w:sz w:val="21"/>
          <w:szCs w:val="21"/>
          <w:lang w:eastAsia="zh-CN"/>
        </w:rPr>
        <w:t>）明示产品标准为T/CNTAC 55-2020、T/CNITA 09104-2020</w:t>
      </w:r>
    </w:p>
    <w:tbl>
      <w:tblPr>
        <w:tblStyle w:val="6"/>
        <w:tblW w:w="8745" w:type="dxa"/>
        <w:tblInd w:w="-89" w:type="dxa"/>
        <w:tblLayout w:type="fixed"/>
        <w:tblCellMar>
          <w:top w:w="15" w:type="dxa"/>
          <w:left w:w="15" w:type="dxa"/>
          <w:bottom w:w="15" w:type="dxa"/>
          <w:right w:w="15" w:type="dxa"/>
        </w:tblCellMar>
      </w:tblPr>
      <w:tblGrid>
        <w:gridCol w:w="700"/>
        <w:gridCol w:w="2033"/>
        <w:gridCol w:w="2326"/>
        <w:gridCol w:w="709"/>
        <w:gridCol w:w="708"/>
        <w:gridCol w:w="709"/>
        <w:gridCol w:w="855"/>
        <w:gridCol w:w="705"/>
      </w:tblGrid>
      <w:tr>
        <w:tblPrEx>
          <w:tblLayout w:type="fixed"/>
          <w:tblCellMar>
            <w:top w:w="15" w:type="dxa"/>
            <w:left w:w="15" w:type="dxa"/>
            <w:bottom w:w="15" w:type="dxa"/>
            <w:right w:w="15" w:type="dxa"/>
          </w:tblCellMar>
        </w:tblPrEx>
        <w:tc>
          <w:tcPr>
            <w:tcW w:w="700" w:type="dxa"/>
            <w:tcBorders>
              <w:top w:val="single" w:color="000000" w:sz="8" w:space="0"/>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序号</w:t>
            </w:r>
          </w:p>
        </w:tc>
        <w:tc>
          <w:tcPr>
            <w:tcW w:w="2033"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检验项目</w:t>
            </w:r>
          </w:p>
        </w:tc>
        <w:tc>
          <w:tcPr>
            <w:tcW w:w="2326"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检验方法</w:t>
            </w:r>
          </w:p>
        </w:tc>
        <w:tc>
          <w:tcPr>
            <w:tcW w:w="709"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强制性</w:t>
            </w:r>
          </w:p>
        </w:tc>
        <w:tc>
          <w:tcPr>
            <w:tcW w:w="708"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color w:val="000000"/>
                <w:spacing w:val="-6"/>
                <w:sz w:val="21"/>
                <w:szCs w:val="21"/>
              </w:rPr>
            </w:pPr>
            <w:r>
              <w:rPr>
                <w:rFonts w:hint="eastAsia" w:asciiTheme="minorEastAsia" w:hAnsiTheme="minorEastAsia" w:eastAsiaTheme="minorEastAsia" w:cstheme="minorEastAsia"/>
                <w:color w:val="000000"/>
                <w:spacing w:val="-6"/>
                <w:sz w:val="21"/>
                <w:szCs w:val="21"/>
              </w:rPr>
              <w:t>非强</w:t>
            </w:r>
          </w:p>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制性</w:t>
            </w:r>
          </w:p>
        </w:tc>
        <w:tc>
          <w:tcPr>
            <w:tcW w:w="709"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重要项</w:t>
            </w:r>
          </w:p>
        </w:tc>
        <w:tc>
          <w:tcPr>
            <w:tcW w:w="855"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color w:val="000000"/>
                <w:spacing w:val="-6"/>
                <w:sz w:val="21"/>
                <w:szCs w:val="21"/>
              </w:rPr>
            </w:pPr>
            <w:r>
              <w:rPr>
                <w:rFonts w:hint="eastAsia" w:asciiTheme="minorEastAsia" w:hAnsiTheme="minorEastAsia" w:eastAsiaTheme="minorEastAsia" w:cstheme="minorEastAsia"/>
                <w:color w:val="000000"/>
                <w:spacing w:val="-6"/>
                <w:sz w:val="21"/>
                <w:szCs w:val="21"/>
              </w:rPr>
              <w:t>较重</w:t>
            </w:r>
          </w:p>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要项</w:t>
            </w:r>
          </w:p>
        </w:tc>
        <w:tc>
          <w:tcPr>
            <w:tcW w:w="705" w:type="dxa"/>
            <w:tcBorders>
              <w:top w:val="single" w:color="000000" w:sz="8" w:space="0"/>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6"/>
                <w:sz w:val="21"/>
                <w:szCs w:val="21"/>
              </w:rPr>
              <w:t>次要项</w:t>
            </w:r>
          </w:p>
        </w:tc>
      </w:tr>
      <w:tr>
        <w:tblPrEx>
          <w:tblLayout w:type="fixed"/>
          <w:tblCellMar>
            <w:top w:w="15" w:type="dxa"/>
            <w:left w:w="15" w:type="dxa"/>
            <w:bottom w:w="15" w:type="dxa"/>
            <w:right w:w="15" w:type="dxa"/>
          </w:tblCellMar>
        </w:tblPrEx>
        <w:tc>
          <w:tcPr>
            <w:tcW w:w="700"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033"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口罩带与口罩体连接断裂强力</w:t>
            </w:r>
          </w:p>
        </w:tc>
        <w:tc>
          <w:tcPr>
            <w:tcW w:w="2326" w:type="dxa"/>
            <w:vMerge w:val="restart"/>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T/CNTAC 55-2020,</w:t>
            </w:r>
          </w:p>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T/CNITA 09104-2020</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85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700"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033"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细菌过滤效率</w:t>
            </w:r>
          </w:p>
        </w:tc>
        <w:tc>
          <w:tcPr>
            <w:tcW w:w="2326" w:type="dxa"/>
            <w:vMerge w:val="continue"/>
            <w:tcBorders>
              <w:left w:val="nil"/>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5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700"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033"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颗粒</w:t>
            </w:r>
            <w:r>
              <w:rPr>
                <w:rFonts w:hint="eastAsia" w:asciiTheme="minorEastAsia" w:hAnsiTheme="minorEastAsia" w:eastAsiaTheme="minorEastAsia" w:cstheme="minorEastAsia"/>
                <w:sz w:val="21"/>
                <w:szCs w:val="21"/>
                <w:lang w:val="en-US" w:eastAsia="zh-CN"/>
              </w:rPr>
              <w:t>物</w:t>
            </w:r>
            <w:r>
              <w:rPr>
                <w:rFonts w:hint="eastAsia" w:asciiTheme="minorEastAsia" w:hAnsiTheme="minorEastAsia" w:eastAsiaTheme="minorEastAsia" w:cstheme="minorEastAsia"/>
                <w:sz w:val="21"/>
                <w:szCs w:val="21"/>
              </w:rPr>
              <w:t>过滤效率</w:t>
            </w:r>
          </w:p>
        </w:tc>
        <w:tc>
          <w:tcPr>
            <w:tcW w:w="2326" w:type="dxa"/>
            <w:vMerge w:val="continue"/>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5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700" w:type="dxa"/>
            <w:tcBorders>
              <w:top w:val="nil"/>
              <w:left w:val="single" w:color="000000" w:sz="8" w:space="0"/>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033"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通气阻力</w:t>
            </w:r>
          </w:p>
        </w:tc>
        <w:tc>
          <w:tcPr>
            <w:tcW w:w="2326" w:type="dxa"/>
            <w:vMerge w:val="continue"/>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85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5" w:type="dxa"/>
            <w:tcBorders>
              <w:top w:val="nil"/>
              <w:left w:val="nil"/>
              <w:bottom w:val="single" w:color="000000" w:sz="8"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700" w:type="dxa"/>
            <w:tcBorders>
              <w:top w:val="nil"/>
              <w:left w:val="single" w:color="000000" w:sz="8" w:space="0"/>
              <w:bottom w:val="single" w:color="auto" w:sz="4"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2033" w:type="dxa"/>
            <w:tcBorders>
              <w:top w:val="nil"/>
              <w:left w:val="nil"/>
              <w:bottom w:val="single" w:color="auto" w:sz="4"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微生物</w:t>
            </w:r>
          </w:p>
        </w:tc>
        <w:tc>
          <w:tcPr>
            <w:tcW w:w="2326" w:type="dxa"/>
            <w:vMerge w:val="continue"/>
            <w:tcBorders>
              <w:top w:val="nil"/>
              <w:left w:val="nil"/>
              <w:bottom w:val="single" w:color="auto" w:sz="4"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9" w:type="dxa"/>
            <w:tcBorders>
              <w:top w:val="nil"/>
              <w:left w:val="nil"/>
              <w:bottom w:val="single" w:color="auto" w:sz="4" w:space="0"/>
              <w:right w:val="single" w:color="000000" w:sz="8" w:space="0"/>
            </w:tcBorders>
            <w:noWrap w:val="0"/>
            <w:tcMar>
              <w:top w:w="75" w:type="dxa"/>
              <w:left w:w="150" w:type="dxa"/>
              <w:bottom w:w="75" w:type="dxa"/>
              <w:right w:w="150" w:type="dxa"/>
            </w:tcMar>
            <w:vAlign w:val="top"/>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8" w:type="dxa"/>
            <w:tcBorders>
              <w:top w:val="nil"/>
              <w:left w:val="nil"/>
              <w:bottom w:val="single" w:color="auto" w:sz="4"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709" w:type="dxa"/>
            <w:tcBorders>
              <w:top w:val="nil"/>
              <w:left w:val="nil"/>
              <w:bottom w:val="single" w:color="auto" w:sz="4"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855" w:type="dxa"/>
            <w:tcBorders>
              <w:top w:val="nil"/>
              <w:left w:val="nil"/>
              <w:bottom w:val="single" w:color="auto" w:sz="4"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c>
          <w:tcPr>
            <w:tcW w:w="705" w:type="dxa"/>
            <w:tcBorders>
              <w:top w:val="nil"/>
              <w:left w:val="nil"/>
              <w:bottom w:val="single" w:color="auto" w:sz="4" w:space="0"/>
              <w:right w:val="single" w:color="000000" w:sz="8"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p>
        </w:tc>
      </w:tr>
      <w:tr>
        <w:tblPrEx>
          <w:tblLayout w:type="fixed"/>
          <w:tblCellMar>
            <w:top w:w="15" w:type="dxa"/>
            <w:left w:w="15" w:type="dxa"/>
            <w:bottom w:w="15" w:type="dxa"/>
            <w:right w:w="15" w:type="dxa"/>
          </w:tblCellMar>
        </w:tblPrEx>
        <w:tc>
          <w:tcPr>
            <w:tcW w:w="8745" w:type="dxa"/>
            <w:gridSpan w:val="8"/>
            <w:tcBorders>
              <w:top w:val="single" w:color="auto" w:sz="4" w:space="0"/>
              <w:left w:val="single" w:color="auto" w:sz="4" w:space="0"/>
              <w:bottom w:val="single" w:color="auto" w:sz="4" w:space="0"/>
              <w:right w:val="single" w:color="auto" w:sz="4" w:space="0"/>
            </w:tcBorders>
            <w:noWrap w:val="0"/>
            <w:tcMar>
              <w:top w:w="75" w:type="dxa"/>
              <w:left w:w="150" w:type="dxa"/>
              <w:bottom w:w="75" w:type="dxa"/>
              <w:right w:w="150" w:type="dxa"/>
            </w:tcMar>
            <w:vAlign w:val="center"/>
          </w:tcPr>
          <w:p>
            <w:pPr>
              <w:keepNext w:val="0"/>
              <w:keepLines w:val="0"/>
              <w:pageBreakBefore w:val="0"/>
              <w:widowControl/>
              <w:tabs>
                <w:tab w:val="left" w:pos="492"/>
              </w:tabs>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注：微生物不进行复检。</w:t>
            </w:r>
          </w:p>
        </w:tc>
      </w:tr>
    </w:tbl>
    <w:p>
      <w:pPr>
        <w:keepNext w:val="0"/>
        <w:keepLines w:val="0"/>
        <w:pageBreakBefore w:val="0"/>
        <w:widowControl/>
        <w:kinsoku/>
        <w:wordWrap/>
        <w:overflowPunct/>
        <w:topLinePunct w:val="0"/>
        <w:autoSpaceDE/>
        <w:autoSpaceDN/>
        <w:bidi w:val="0"/>
        <w:adjustRightInd/>
        <w:snapToGrid/>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执行企业标准、团体标准、地方标准的产品，检验项目参照上述内容执行。</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spacing w:line="240" w:lineRule="auto"/>
        <w:ind w:firstLine="420" w:firstLineChars="200"/>
        <w:textAlignment w:val="auto"/>
        <w:rPr>
          <w:rFonts w:hint="eastAsia" w:asciiTheme="minorEastAsia" w:hAnsiTheme="minorEastAsia" w:eastAsiaTheme="minorEastAsia" w:cstheme="minorEastAsia"/>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黑体" w:hAnsi="宋体" w:eastAsia="黑体"/>
          <w:sz w:val="21"/>
          <w:szCs w:val="21"/>
          <w:lang w:val="en-US" w:eastAsia="zh-CN"/>
        </w:rPr>
      </w:pPr>
      <w:r>
        <w:rPr>
          <w:rFonts w:hint="eastAsia" w:ascii="黑体" w:hAnsi="宋体" w:eastAsia="黑体"/>
          <w:sz w:val="21"/>
          <w:szCs w:val="21"/>
          <w:lang w:val="en-US" w:eastAsia="zh-CN"/>
        </w:rPr>
        <w:t>三、判定规则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一</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依据标准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rPr>
        <w:t>GB 2626-2006</w:t>
      </w:r>
      <w:r>
        <w:rPr>
          <w:rFonts w:hint="eastAsia" w:asciiTheme="minorEastAsia" w:hAnsiTheme="minorEastAsia" w:eastAsia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rPr>
        <w:t>《呼吸防护用品 自吸过滤式防颗粒物呼吸器》</w:t>
      </w:r>
      <w:r>
        <w:rPr>
          <w:rFonts w:hint="eastAsia" w:asciiTheme="minorEastAsia" w:hAnsiTheme="minorEastAsia" w:eastAsiaTheme="minorEastAsia" w:cstheme="minor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rPr>
        <w:t xml:space="preserve">GB 2626-2019 </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呼吸防护 自吸过滤式防颗粒物呼吸器</w:t>
      </w:r>
      <w:r>
        <w:rPr>
          <w:rFonts w:hint="eastAsia" w:asciiTheme="minorEastAsia" w:hAnsiTheme="minorEastAsia" w:eastAsiaTheme="minorEastAsia" w:cstheme="minor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rPr>
        <w:t>GB/T 32610-2016《日常防护型口罩技术规范》</w:t>
      </w:r>
      <w:r>
        <w:rPr>
          <w:rFonts w:hint="eastAsia" w:asciiTheme="minorEastAsia" w:hAnsiTheme="minorEastAsia" w:eastAsiaTheme="minorEastAsia" w:cstheme="minor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 xml:space="preserve">GB/T 38880-2020 </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儿童口罩技术规范</w:t>
      </w:r>
      <w:r>
        <w:rPr>
          <w:rFonts w:hint="eastAsia" w:asciiTheme="minorEastAsia" w:hAnsiTheme="minorEastAsia" w:eastAsiaTheme="minorEastAsia" w:cstheme="minorEastAsia"/>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rPr>
        <w:t>T/GDMDMA 0005-2020《一次性使用儿童口罩》</w:t>
      </w:r>
      <w:r>
        <w:rPr>
          <w:rFonts w:hint="eastAsia" w:asciiTheme="minorEastAsia" w:hAnsiTheme="minorEastAsia" w:eastAsiaTheme="minorEastAsia" w:cstheme="minor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rPr>
        <w:t>T/GDBX 025-2020《日常防护口罩》</w:t>
      </w:r>
      <w:r>
        <w:rPr>
          <w:rFonts w:hint="eastAsia" w:asciiTheme="minorEastAsia" w:hAnsiTheme="minorEastAsia" w:eastAsiaTheme="minorEastAsia" w:cstheme="minor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rPr>
        <w:t>T/CTCA 7-2019《普通防护口罩》</w:t>
      </w:r>
      <w:r>
        <w:rPr>
          <w:rFonts w:hint="eastAsia" w:asciiTheme="minorEastAsia" w:hAnsiTheme="minorEastAsia" w:eastAsiaTheme="minorEastAsia" w:cstheme="minor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rPr>
        <w:t>T/CTCA 1-2019《PM2.5防护口罩》</w:t>
      </w:r>
      <w:r>
        <w:rPr>
          <w:rFonts w:hint="eastAsia" w:asciiTheme="minorEastAsia" w:hAnsiTheme="minorEastAsia" w:eastAsiaTheme="minorEastAsia" w:cstheme="minor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rPr>
        <w:t>T/CNTAC 55-2020,T/CNITA 09104-2020《民用卫生口罩》</w:t>
      </w:r>
      <w:r>
        <w:rPr>
          <w:rFonts w:hint="eastAsia" w:asciiTheme="minorEastAsia" w:hAnsiTheme="minorEastAsia" w:eastAsiaTheme="minorEastAsia" w:cstheme="minorEastAsia"/>
          <w:color w:val="000000"/>
          <w:sz w:val="21"/>
          <w:szCs w:val="21"/>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国家标准化管理委员会关于延长GB 2626-2019《呼吸防护 自吸过滤式防颗粒物呼吸器》国家标准过渡期的通知（国标委发〔2020〕29号）</w:t>
      </w:r>
      <w:r>
        <w:rPr>
          <w:rFonts w:hint="eastAsia" w:asciiTheme="minorEastAsia" w:hAnsiTheme="minorEastAsia" w:eastAsiaTheme="minorEastAsia" w:cstheme="minorEastAsia"/>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现行有效的企业标准和产品明示指标或其他相适应的产品标准。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二</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判定原则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经检验，检验项目全部合格，判定为抽取的样本所检项目未检出不合格；检验项目中任一项或一项以上不合格，判定为被抽查产品不合格。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当被检样品明示的质量要求优于监督抽查实施细则中依据的标准要求时，应按被检样品明示的质量要求判定。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当被检样品明示的质量要求劣于或不包含监督抽查实施细则中依据的强制性标准要求时，应按照强制性标准要求判定。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当被检样品明示的质量要求劣于或包含监督抽查实施细则中依据的推荐性标准要求时，应以被检样品明示的质量要求判定，如相应检验结果不符合相关推荐性标准要求时，应在检验报告中予以说明。</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当被检样品明示的质量要求不包含监督抽查实施细则中依据的推荐性标准要求时，该指标不参与判定，但应在检验报告中作出说明。</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当被检样品未能提供有效的企业标准时，按相关国家或行业标准进行判定。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按照产品质量相关法律法规的规定判定。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琥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D18"/>
    <w:rsid w:val="0012749B"/>
    <w:rsid w:val="001474DF"/>
    <w:rsid w:val="002C12AC"/>
    <w:rsid w:val="002D6D18"/>
    <w:rsid w:val="003D2994"/>
    <w:rsid w:val="0044492B"/>
    <w:rsid w:val="004B29E4"/>
    <w:rsid w:val="004B49B0"/>
    <w:rsid w:val="00610DFE"/>
    <w:rsid w:val="008475D5"/>
    <w:rsid w:val="00B4019A"/>
    <w:rsid w:val="00D3628F"/>
    <w:rsid w:val="00D75BE5"/>
    <w:rsid w:val="00D85778"/>
    <w:rsid w:val="00E157AB"/>
    <w:rsid w:val="024216D2"/>
    <w:rsid w:val="3773530F"/>
    <w:rsid w:val="69F16DC1"/>
    <w:rsid w:val="6CD64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标题 1 Char"/>
    <w:basedOn w:val="7"/>
    <w:link w:val="2"/>
    <w:qFormat/>
    <w:uiPriority w:val="9"/>
    <w:rPr>
      <w:rFonts w:ascii="Times New Roman" w:hAnsi="Times New Roman" w:eastAsia="仿宋_GB2312"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335</Words>
  <Characters>1910</Characters>
  <Lines>15</Lines>
  <Paragraphs>4</Paragraphs>
  <TotalTime>1</TotalTime>
  <ScaleCrop>false</ScaleCrop>
  <LinksUpToDate>false</LinksUpToDate>
  <CharactersWithSpaces>2241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2021-07-13T08:20:00Z</dcterms:created>
  <dc:creator>徐杰</dc:creator>
  <cp:lastModifiedBy>江门市监局</cp:lastModifiedBy>
  <dcterms:modified xsi:type="dcterms:W3CDTF">2021-08-11T05:04:58Z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