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江门市摩托车用铅酸蓄电池产品质量监督抽查实施细则</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黑体" w:hAnsi="宋体" w:eastAsia="黑体"/>
          <w:szCs w:val="21"/>
        </w:rPr>
      </w:pPr>
      <w:r>
        <w:rPr>
          <w:rFonts w:hint="eastAsia" w:ascii="黑体" w:hAnsi="宋体" w:eastAsia="黑体"/>
          <w:szCs w:val="21"/>
          <w:lang w:val="en-US" w:eastAsia="zh-CN"/>
        </w:rPr>
        <w:t>一、</w:t>
      </w:r>
      <w:r>
        <w:rPr>
          <w:rFonts w:hint="eastAsia" w:ascii="黑体" w:hAnsi="宋体" w:eastAsia="黑体"/>
          <w:szCs w:val="21"/>
        </w:rPr>
        <w:t>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szCs w:val="21"/>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szCs w:val="21"/>
        </w:rPr>
      </w:pPr>
      <w:r>
        <w:rPr>
          <w:rFonts w:hint="eastAsia"/>
          <w:szCs w:val="21"/>
        </w:rPr>
        <w:t>每批次产品抽取样品4只，其中2只作为检验样品，2只作为备用样品。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黑体" w:hAnsi="宋体" w:eastAsia="黑体"/>
          <w:szCs w:val="21"/>
        </w:rPr>
      </w:pPr>
      <w:r>
        <w:rPr>
          <w:rFonts w:hint="eastAsia" w:ascii="黑体" w:hAnsi="宋体" w:eastAsia="黑体"/>
          <w:szCs w:val="21"/>
          <w:lang w:val="en-US" w:eastAsia="zh-CN"/>
        </w:rPr>
        <w:t>二、</w:t>
      </w:r>
      <w:r>
        <w:rPr>
          <w:rFonts w:hint="eastAsia" w:ascii="黑体" w:hAnsi="宋体" w:eastAsia="黑体"/>
          <w:szCs w:val="21"/>
        </w:rPr>
        <w:t>主要检验项目及检验项目属性划分</w:t>
      </w:r>
    </w:p>
    <w:tbl>
      <w:tblPr>
        <w:tblStyle w:val="5"/>
        <w:tblW w:w="8316" w:type="dxa"/>
        <w:jc w:val="center"/>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5"/>
        <w:gridCol w:w="1509"/>
        <w:gridCol w:w="1971"/>
        <w:gridCol w:w="836"/>
        <w:gridCol w:w="836"/>
        <w:gridCol w:w="836"/>
        <w:gridCol w:w="836"/>
        <w:gridCol w:w="8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1" w:hRule="atLeast"/>
          <w:tblHeader/>
          <w:jc w:val="center"/>
        </w:trPr>
        <w:tc>
          <w:tcPr>
            <w:tcW w:w="655" w:type="dxa"/>
            <w:shd w:val="clear" w:color="auto" w:fill="auto"/>
            <w:vAlign w:val="center"/>
          </w:tcPr>
          <w:p>
            <w:pPr>
              <w:adjustRightInd w:val="0"/>
              <w:snapToGrid w:val="0"/>
              <w:jc w:val="center"/>
              <w:rPr>
                <w:szCs w:val="21"/>
              </w:rPr>
            </w:pPr>
            <w:r>
              <w:rPr>
                <w:szCs w:val="21"/>
              </w:rPr>
              <w:t>序号</w:t>
            </w:r>
          </w:p>
        </w:tc>
        <w:tc>
          <w:tcPr>
            <w:tcW w:w="1509" w:type="dxa"/>
            <w:shd w:val="clear" w:color="auto" w:fill="auto"/>
            <w:vAlign w:val="center"/>
          </w:tcPr>
          <w:p>
            <w:pPr>
              <w:adjustRightInd w:val="0"/>
              <w:snapToGrid w:val="0"/>
              <w:jc w:val="center"/>
              <w:rPr>
                <w:szCs w:val="21"/>
              </w:rPr>
            </w:pPr>
            <w:r>
              <w:rPr>
                <w:szCs w:val="21"/>
              </w:rPr>
              <w:t>检验项目</w:t>
            </w:r>
          </w:p>
        </w:tc>
        <w:tc>
          <w:tcPr>
            <w:tcW w:w="1971" w:type="dxa"/>
            <w:shd w:val="clear" w:color="auto" w:fill="auto"/>
            <w:vAlign w:val="center"/>
          </w:tcPr>
          <w:p>
            <w:pPr>
              <w:adjustRightInd w:val="0"/>
              <w:snapToGrid w:val="0"/>
              <w:jc w:val="center"/>
              <w:rPr>
                <w:szCs w:val="21"/>
              </w:rPr>
            </w:pPr>
            <w:r>
              <w:rPr>
                <w:szCs w:val="21"/>
              </w:rPr>
              <w:t>检验方法</w:t>
            </w:r>
          </w:p>
        </w:tc>
        <w:tc>
          <w:tcPr>
            <w:tcW w:w="836" w:type="dxa"/>
            <w:shd w:val="clear" w:color="auto" w:fill="auto"/>
            <w:vAlign w:val="center"/>
          </w:tcPr>
          <w:p>
            <w:pPr>
              <w:adjustRightInd w:val="0"/>
              <w:snapToGrid w:val="0"/>
              <w:jc w:val="center"/>
              <w:rPr>
                <w:szCs w:val="21"/>
              </w:rPr>
            </w:pPr>
            <w:r>
              <w:rPr>
                <w:szCs w:val="21"/>
              </w:rPr>
              <w:t>强制性</w:t>
            </w:r>
          </w:p>
        </w:tc>
        <w:tc>
          <w:tcPr>
            <w:tcW w:w="836" w:type="dxa"/>
            <w:shd w:val="clear" w:color="auto" w:fill="auto"/>
            <w:vAlign w:val="center"/>
          </w:tcPr>
          <w:p>
            <w:pPr>
              <w:adjustRightInd w:val="0"/>
              <w:snapToGrid w:val="0"/>
              <w:jc w:val="center"/>
              <w:rPr>
                <w:szCs w:val="21"/>
              </w:rPr>
            </w:pPr>
            <w:r>
              <w:rPr>
                <w:szCs w:val="21"/>
              </w:rPr>
              <w:t>非强</w:t>
            </w:r>
          </w:p>
          <w:p>
            <w:pPr>
              <w:adjustRightInd w:val="0"/>
              <w:snapToGrid w:val="0"/>
              <w:jc w:val="center"/>
              <w:rPr>
                <w:szCs w:val="21"/>
              </w:rPr>
            </w:pPr>
            <w:r>
              <w:rPr>
                <w:szCs w:val="21"/>
              </w:rPr>
              <w:t>制性</w:t>
            </w:r>
          </w:p>
        </w:tc>
        <w:tc>
          <w:tcPr>
            <w:tcW w:w="836" w:type="dxa"/>
            <w:shd w:val="clear" w:color="auto" w:fill="auto"/>
            <w:vAlign w:val="center"/>
          </w:tcPr>
          <w:p>
            <w:pPr>
              <w:adjustRightInd w:val="0"/>
              <w:snapToGrid w:val="0"/>
              <w:jc w:val="center"/>
              <w:rPr>
                <w:szCs w:val="21"/>
              </w:rPr>
            </w:pPr>
            <w:r>
              <w:rPr>
                <w:szCs w:val="21"/>
              </w:rPr>
              <w:t>重要项</w:t>
            </w:r>
          </w:p>
        </w:tc>
        <w:tc>
          <w:tcPr>
            <w:tcW w:w="836" w:type="dxa"/>
            <w:shd w:val="clear" w:color="auto" w:fill="auto"/>
            <w:vAlign w:val="center"/>
          </w:tcPr>
          <w:p>
            <w:pPr>
              <w:adjustRightInd w:val="0"/>
              <w:snapToGrid w:val="0"/>
              <w:jc w:val="center"/>
              <w:rPr>
                <w:szCs w:val="21"/>
              </w:rPr>
            </w:pPr>
            <w:r>
              <w:rPr>
                <w:szCs w:val="21"/>
              </w:rPr>
              <w:t>较重</w:t>
            </w:r>
          </w:p>
          <w:p>
            <w:pPr>
              <w:adjustRightInd w:val="0"/>
              <w:snapToGrid w:val="0"/>
              <w:jc w:val="center"/>
              <w:rPr>
                <w:szCs w:val="21"/>
              </w:rPr>
            </w:pPr>
            <w:r>
              <w:rPr>
                <w:szCs w:val="21"/>
              </w:rPr>
              <w:t>要项</w:t>
            </w:r>
          </w:p>
        </w:tc>
        <w:tc>
          <w:tcPr>
            <w:tcW w:w="837" w:type="dxa"/>
            <w:shd w:val="clear" w:color="auto" w:fill="auto"/>
            <w:vAlign w:val="center"/>
          </w:tcPr>
          <w:p>
            <w:pPr>
              <w:adjustRightInd w:val="0"/>
              <w:snapToGrid w:val="0"/>
              <w:jc w:val="center"/>
              <w:rPr>
                <w:szCs w:val="21"/>
              </w:rPr>
            </w:pPr>
            <w:r>
              <w:rPr>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1</w:t>
            </w:r>
          </w:p>
        </w:tc>
        <w:tc>
          <w:tcPr>
            <w:tcW w:w="15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容量</w:t>
            </w:r>
          </w:p>
        </w:tc>
        <w:tc>
          <w:tcPr>
            <w:tcW w:w="1971"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GB/T 23638-2009中4.8，5.8</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8"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2</w:t>
            </w:r>
          </w:p>
        </w:tc>
        <w:tc>
          <w:tcPr>
            <w:tcW w:w="15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低温起动能力</w:t>
            </w:r>
          </w:p>
        </w:tc>
        <w:tc>
          <w:tcPr>
            <w:tcW w:w="1971"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GB/T 23638-2009中4.10，5.10</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3</w:t>
            </w:r>
          </w:p>
        </w:tc>
        <w:tc>
          <w:tcPr>
            <w:tcW w:w="15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充电接受能力</w:t>
            </w:r>
          </w:p>
        </w:tc>
        <w:tc>
          <w:tcPr>
            <w:tcW w:w="1971"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GB/T 23638-2009中4.11，5.11</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bookmarkStart w:id="0" w:name="_GoBack"/>
            <w:bookmarkEnd w:id="0"/>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94"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4</w:t>
            </w:r>
          </w:p>
        </w:tc>
        <w:tc>
          <w:tcPr>
            <w:tcW w:w="15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耐振动性能</w:t>
            </w:r>
          </w:p>
        </w:tc>
        <w:tc>
          <w:tcPr>
            <w:tcW w:w="1971"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GB/T 23638-2009中4.15，5.15</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rPr>
      </w:pPr>
      <w:r>
        <w:rPr>
          <w:rFonts w:hint="eastAsia" w:ascii="宋体" w:hAnsi="宋体"/>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rPr>
      </w:pPr>
      <w:r>
        <w:rPr>
          <w:rFonts w:hint="eastAsia" w:ascii="宋体" w:hAnsi="宋体"/>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szCs w:val="21"/>
        </w:rPr>
      </w:pP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ascii="黑体" w:hAnsi="黑体" w:eastAsia="黑体"/>
          <w:szCs w:val="21"/>
        </w:rPr>
      </w:pPr>
      <w:r>
        <w:rPr>
          <w:rFonts w:hint="eastAsia" w:ascii="黑体" w:hAnsi="黑体" w:eastAsia="黑体"/>
          <w:szCs w:val="21"/>
          <w:lang w:val="en-US" w:eastAsia="zh-CN"/>
        </w:rPr>
        <w:t>三、</w:t>
      </w:r>
      <w:r>
        <w:rPr>
          <w:rFonts w:hint="eastAsia" w:ascii="黑体" w:hAnsi="黑体" w:eastAsia="黑体"/>
          <w:szCs w:val="21"/>
        </w:rPr>
        <w:t>判定规则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lang w:eastAsia="zh-CN"/>
        </w:rPr>
        <w:t>（</w:t>
      </w:r>
      <w:r>
        <w:rPr>
          <w:rFonts w:hint="eastAsia" w:ascii="宋体" w:hAnsi="宋体"/>
          <w:szCs w:val="21"/>
          <w:lang w:val="en-US" w:eastAsia="zh-CN"/>
        </w:rPr>
        <w:t>一</w:t>
      </w:r>
      <w:r>
        <w:rPr>
          <w:rFonts w:hint="eastAsia" w:ascii="宋体" w:hAnsi="宋体"/>
          <w:szCs w:val="21"/>
          <w:lang w:eastAsia="zh-CN"/>
        </w:rPr>
        <w:t>）</w:t>
      </w:r>
      <w:r>
        <w:rPr>
          <w:rFonts w:hint="eastAsia" w:ascii="宋体" w:hAnsi="宋体"/>
          <w:szCs w:val="21"/>
        </w:rPr>
        <w:t>依据标准</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ascii="宋体" w:hAnsi="宋体"/>
          <w:szCs w:val="21"/>
        </w:rPr>
        <w:t>GB/T</w:t>
      </w:r>
      <w:r>
        <w:rPr>
          <w:rFonts w:hint="eastAsia" w:ascii="宋体" w:hAnsi="宋体"/>
          <w:szCs w:val="21"/>
        </w:rPr>
        <w:t xml:space="preserve"> </w:t>
      </w:r>
      <w:r>
        <w:rPr>
          <w:rFonts w:ascii="宋体" w:hAnsi="宋体"/>
          <w:szCs w:val="21"/>
        </w:rPr>
        <w:t>23638-2009</w:t>
      </w:r>
      <w:r>
        <w:rPr>
          <w:rFonts w:hint="eastAsia" w:ascii="宋体" w:hAnsi="宋体"/>
          <w:szCs w:val="21"/>
        </w:rPr>
        <w:t>《摩托车用铅酸蓄电池》</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szCs w:val="21"/>
        </w:rPr>
      </w:pPr>
      <w:r>
        <w:rPr>
          <w:rFonts w:hint="eastAsia" w:ascii="宋体" w:hAnsi="宋体"/>
          <w:szCs w:val="21"/>
        </w:rPr>
        <w:t>现行有效的企业标准和产品明示指标或其他相适应的产品标准。</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lang w:eastAsia="zh-CN"/>
        </w:rPr>
        <w:t>（</w:t>
      </w:r>
      <w:r>
        <w:rPr>
          <w:rFonts w:hint="eastAsia" w:ascii="宋体" w:hAnsi="宋体"/>
          <w:szCs w:val="21"/>
          <w:lang w:val="en-US" w:eastAsia="zh-CN"/>
        </w:rPr>
        <w:t>二</w:t>
      </w:r>
      <w:r>
        <w:rPr>
          <w:rFonts w:hint="eastAsia" w:ascii="宋体" w:hAnsi="宋体"/>
          <w:szCs w:val="21"/>
          <w:lang w:eastAsia="zh-CN"/>
        </w:rPr>
        <w:t>）</w:t>
      </w:r>
      <w:r>
        <w:rPr>
          <w:rFonts w:hint="eastAsia" w:ascii="宋体" w:hAnsi="宋体"/>
          <w:szCs w:val="21"/>
        </w:rPr>
        <w:t>判定原则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rPr>
        <w:t>经检验，检验项目全部合格，判定为抽取的样本所检项目未检出不合格；检验项目中任一项或一项以上不合格，判定为被抽查产品不合格。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当被检样品明示的质量要求优于监督抽查实施细则中依据的标准要求时，应按被检样品明示的质量要求判定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当被检样品明示的质量要求劣于或不包含监督抽查实施细则中依据的强制性标准要求时，应按照强制性标准要求判定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当被检样品明示的质量要求劣于或包含监督抽查实施细则中依据的推荐性标准要求时，应以被检样品明示的质量要求判定，如相应检验结果不符合相关推荐性标准要求时，应在检验报告中予以说明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当被检样品明示的质量要求不包含监督抽查实施细则中依据的推荐性标准要求时，该指标不参与判定，但应在检验报告中作出说明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当被检样品未能提供有效的企业标准时，按相关国家或行业标准进行判定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当被检样品标签标识中执行标准信息和产品类别信息不明或有误，影响检测和判定时，可根据相关强制性标准要求，同时结合产品特点等信息判断和选择相关标准进行检验，并应在检验报告中作出相关说明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szCs w:val="21"/>
        </w:rPr>
      </w:pPr>
      <w:r>
        <w:rPr>
          <w:rFonts w:hint="eastAsia" w:ascii="宋体" w:hAnsi="宋体"/>
          <w:szCs w:val="21"/>
        </w:rPr>
        <w:t>按照产品质量相关法律法规的规定判定。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szCs w:val="21"/>
        </w:rPr>
      </w:pPr>
      <w:r>
        <w:rPr>
          <w:rFonts w:hint="eastAsia" w:ascii="宋体" w:hAnsi="宋体"/>
          <w:szCs w:val="21"/>
        </w:rPr>
        <w:t>检验中发现因样品失效或者其他原因致使检验无法进行的，检验人员应如实记录，并提供相关证明材料，报送组织监督抽查的市场监管部门。</w:t>
      </w:r>
    </w:p>
    <w:p>
      <w:pPr>
        <w:snapToGrid w:val="0"/>
        <w:spacing w:line="440" w:lineRule="exact"/>
        <w:ind w:firstLine="417" w:firstLineChars="199"/>
        <w:rPr>
          <w:rFonts w:ascii="宋体" w:hAnsi="宋体"/>
          <w:szCs w:val="21"/>
        </w:rPr>
      </w:pPr>
    </w:p>
    <w:p>
      <w:pPr>
        <w:snapToGrid w:val="0"/>
        <w:spacing w:line="440" w:lineRule="exact"/>
        <w:rPr>
          <w:rFonts w:ascii="宋体" w:hAnsi="宋体"/>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eastAsia="zh-CN"/>
      </w:rPr>
      <w:fldChar w:fldCharType="begin"/>
    </w:r>
    <w:r>
      <w:rPr>
        <w:lang w:val="zh-CN" w:eastAsia="zh-CN"/>
      </w:rPr>
      <w:instrText xml:space="preserve"> PAGE   \* MERGEFORMAT </w:instrText>
    </w:r>
    <w:r>
      <w:rPr>
        <w:lang w:val="zh-CN" w:eastAsia="zh-CN"/>
      </w:rPr>
      <w:fldChar w:fldCharType="separate"/>
    </w:r>
    <w:r>
      <w:rPr>
        <w:lang w:val="en-US" w:eastAsia="zh-CN"/>
      </w:rPr>
      <w:t>1</w:t>
    </w:r>
    <w:r>
      <w:rPr>
        <w:lang w:val="zh-CN" w:eastAsia="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5AED"/>
    <w:rsid w:val="000271F3"/>
    <w:rsid w:val="00051A44"/>
    <w:rsid w:val="00055543"/>
    <w:rsid w:val="00065282"/>
    <w:rsid w:val="00075C05"/>
    <w:rsid w:val="00081CBD"/>
    <w:rsid w:val="000942A0"/>
    <w:rsid w:val="000976DE"/>
    <w:rsid w:val="000F238C"/>
    <w:rsid w:val="00172A27"/>
    <w:rsid w:val="001809DD"/>
    <w:rsid w:val="001A50B0"/>
    <w:rsid w:val="001C73C8"/>
    <w:rsid w:val="001D3F42"/>
    <w:rsid w:val="001E45FA"/>
    <w:rsid w:val="001E6534"/>
    <w:rsid w:val="001F7503"/>
    <w:rsid w:val="00211261"/>
    <w:rsid w:val="00232530"/>
    <w:rsid w:val="0023606F"/>
    <w:rsid w:val="00240BAF"/>
    <w:rsid w:val="00253624"/>
    <w:rsid w:val="002C2EDA"/>
    <w:rsid w:val="002D7F8A"/>
    <w:rsid w:val="002E0D1D"/>
    <w:rsid w:val="00307419"/>
    <w:rsid w:val="00317B17"/>
    <w:rsid w:val="003203A3"/>
    <w:rsid w:val="00352295"/>
    <w:rsid w:val="00365CBE"/>
    <w:rsid w:val="00380BC2"/>
    <w:rsid w:val="00382E1F"/>
    <w:rsid w:val="003872D6"/>
    <w:rsid w:val="003A7CDE"/>
    <w:rsid w:val="003A7D30"/>
    <w:rsid w:val="003C388C"/>
    <w:rsid w:val="003E61BF"/>
    <w:rsid w:val="004104AC"/>
    <w:rsid w:val="00413A85"/>
    <w:rsid w:val="00445E86"/>
    <w:rsid w:val="00474E04"/>
    <w:rsid w:val="004A2D01"/>
    <w:rsid w:val="004A66D5"/>
    <w:rsid w:val="004B00EF"/>
    <w:rsid w:val="004B51FD"/>
    <w:rsid w:val="004D0C5A"/>
    <w:rsid w:val="004E1396"/>
    <w:rsid w:val="004E3259"/>
    <w:rsid w:val="005151C8"/>
    <w:rsid w:val="005245BE"/>
    <w:rsid w:val="005544BD"/>
    <w:rsid w:val="00563EBC"/>
    <w:rsid w:val="0058431B"/>
    <w:rsid w:val="005F7B92"/>
    <w:rsid w:val="00614D5B"/>
    <w:rsid w:val="00636F6C"/>
    <w:rsid w:val="006B422C"/>
    <w:rsid w:val="006B59D7"/>
    <w:rsid w:val="006E0C7B"/>
    <w:rsid w:val="006E1171"/>
    <w:rsid w:val="006F0971"/>
    <w:rsid w:val="0072334C"/>
    <w:rsid w:val="00725B38"/>
    <w:rsid w:val="00732F56"/>
    <w:rsid w:val="007553CD"/>
    <w:rsid w:val="007607C6"/>
    <w:rsid w:val="00824C73"/>
    <w:rsid w:val="0084371C"/>
    <w:rsid w:val="008925D0"/>
    <w:rsid w:val="00895BEA"/>
    <w:rsid w:val="008A3497"/>
    <w:rsid w:val="008A718C"/>
    <w:rsid w:val="008B4316"/>
    <w:rsid w:val="008E1F6F"/>
    <w:rsid w:val="00917A54"/>
    <w:rsid w:val="00951ADF"/>
    <w:rsid w:val="00960D38"/>
    <w:rsid w:val="00965904"/>
    <w:rsid w:val="009B568C"/>
    <w:rsid w:val="009B7EFE"/>
    <w:rsid w:val="009F2545"/>
    <w:rsid w:val="009F5ACE"/>
    <w:rsid w:val="00A43553"/>
    <w:rsid w:val="00A94214"/>
    <w:rsid w:val="00AA1AF9"/>
    <w:rsid w:val="00AA298F"/>
    <w:rsid w:val="00AC5391"/>
    <w:rsid w:val="00B333A4"/>
    <w:rsid w:val="00B33B79"/>
    <w:rsid w:val="00B62E7B"/>
    <w:rsid w:val="00B75CFF"/>
    <w:rsid w:val="00B92C57"/>
    <w:rsid w:val="00BA5F40"/>
    <w:rsid w:val="00BF2B8C"/>
    <w:rsid w:val="00BF4A64"/>
    <w:rsid w:val="00BF4F8C"/>
    <w:rsid w:val="00C20DD6"/>
    <w:rsid w:val="00C26074"/>
    <w:rsid w:val="00C315EA"/>
    <w:rsid w:val="00C72ACE"/>
    <w:rsid w:val="00C76BC7"/>
    <w:rsid w:val="00C83B0A"/>
    <w:rsid w:val="00C97F5C"/>
    <w:rsid w:val="00CA0410"/>
    <w:rsid w:val="00CA1ACE"/>
    <w:rsid w:val="00CC3A83"/>
    <w:rsid w:val="00CC72A9"/>
    <w:rsid w:val="00CE1E0C"/>
    <w:rsid w:val="00CE277E"/>
    <w:rsid w:val="00CF442E"/>
    <w:rsid w:val="00D01F0E"/>
    <w:rsid w:val="00D22024"/>
    <w:rsid w:val="00D25F82"/>
    <w:rsid w:val="00D56867"/>
    <w:rsid w:val="00D61476"/>
    <w:rsid w:val="00D64724"/>
    <w:rsid w:val="00D8267F"/>
    <w:rsid w:val="00D87B4F"/>
    <w:rsid w:val="00DD2C11"/>
    <w:rsid w:val="00DD5C43"/>
    <w:rsid w:val="00DE2A74"/>
    <w:rsid w:val="00DE5F11"/>
    <w:rsid w:val="00DF7152"/>
    <w:rsid w:val="00E02A7F"/>
    <w:rsid w:val="00E07880"/>
    <w:rsid w:val="00E20721"/>
    <w:rsid w:val="00E31131"/>
    <w:rsid w:val="00E312C7"/>
    <w:rsid w:val="00E379D2"/>
    <w:rsid w:val="00E67E65"/>
    <w:rsid w:val="00E70616"/>
    <w:rsid w:val="00E82621"/>
    <w:rsid w:val="00ED5B7A"/>
    <w:rsid w:val="00ED72FD"/>
    <w:rsid w:val="00EE5D78"/>
    <w:rsid w:val="00EF4319"/>
    <w:rsid w:val="00F24F6D"/>
    <w:rsid w:val="00F2603F"/>
    <w:rsid w:val="00F43F54"/>
    <w:rsid w:val="00F50137"/>
    <w:rsid w:val="00F525A6"/>
    <w:rsid w:val="00F56DBA"/>
    <w:rsid w:val="00F64407"/>
    <w:rsid w:val="00F75CDC"/>
    <w:rsid w:val="00F7641A"/>
    <w:rsid w:val="00F77C9A"/>
    <w:rsid w:val="00FB576C"/>
    <w:rsid w:val="00FC3215"/>
    <w:rsid w:val="00FC43F3"/>
    <w:rsid w:val="00FD2AA6"/>
    <w:rsid w:val="00FD66D5"/>
    <w:rsid w:val="00FE7E8A"/>
    <w:rsid w:val="15433D68"/>
    <w:rsid w:val="424E7051"/>
    <w:rsid w:val="5B625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lang w:val="zh-CN" w:eastAsia="zh-CN"/>
    </w:rPr>
  </w:style>
  <w:style w:type="paragraph" w:styleId="3">
    <w:name w:val="footer"/>
    <w:basedOn w:val="1"/>
    <w:link w:val="9"/>
    <w:unhideWhenUsed/>
    <w:qFormat/>
    <w:uiPriority w:val="99"/>
    <w:pPr>
      <w:tabs>
        <w:tab w:val="center" w:pos="4153"/>
        <w:tab w:val="right" w:pos="8306"/>
      </w:tabs>
      <w:snapToGrid w:val="0"/>
      <w:jc w:val="left"/>
    </w:pPr>
    <w:rPr>
      <w:sz w:val="18"/>
      <w:szCs w:val="18"/>
      <w:lang w:val="zh-CN" w:eastAsia="zh-CN"/>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lang w:val="zh-CN" w:eastAsia="zh-CN"/>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page number"/>
    <w:basedOn w:val="7"/>
    <w:qFormat/>
    <w:uiPriority w:val="0"/>
  </w:style>
  <w:style w:type="character" w:customStyle="1" w:styleId="9">
    <w:name w:val="页脚 Char"/>
    <w:link w:val="3"/>
    <w:qFormat/>
    <w:uiPriority w:val="99"/>
    <w:rPr>
      <w:kern w:val="2"/>
      <w:sz w:val="18"/>
      <w:szCs w:val="18"/>
    </w:rPr>
  </w:style>
  <w:style w:type="character" w:customStyle="1" w:styleId="10">
    <w:name w:val="页眉 Char"/>
    <w:link w:val="4"/>
    <w:semiHidden/>
    <w:qFormat/>
    <w:uiPriority w:val="99"/>
    <w:rPr>
      <w:kern w:val="2"/>
      <w:sz w:val="18"/>
      <w:szCs w:val="18"/>
    </w:rPr>
  </w:style>
  <w:style w:type="paragraph" w:customStyle="1" w:styleId="11">
    <w:name w:val="列出段落1"/>
    <w:basedOn w:val="1"/>
    <w:qFormat/>
    <w:uiPriority w:val="34"/>
    <w:pPr>
      <w:ind w:firstLine="420" w:firstLineChars="200"/>
    </w:pPr>
    <w:rPr>
      <w:rFonts w:ascii="Calibri" w:hAnsi="Calibri"/>
      <w:szCs w:val="22"/>
    </w:rPr>
  </w:style>
  <w:style w:type="character" w:customStyle="1" w:styleId="12">
    <w:name w:val="批注框文本 Char"/>
    <w:link w:val="2"/>
    <w:semiHidden/>
    <w:qFormat/>
    <w:uiPriority w:val="99"/>
    <w:rPr>
      <w:kern w:val="2"/>
      <w:sz w:val="18"/>
      <w:szCs w:val="18"/>
    </w:rPr>
  </w:style>
  <w:style w:type="character" w:customStyle="1" w:styleId="13">
    <w:name w:val="方案正文 Char"/>
    <w:link w:val="14"/>
    <w:qFormat/>
    <w:locked/>
    <w:uiPriority w:val="0"/>
    <w:rPr>
      <w:rFonts w:ascii="仿宋_GB2312" w:hAnsi="宋体" w:eastAsia="仿宋_GB2312"/>
      <w:sz w:val="28"/>
      <w:szCs w:val="28"/>
      <w:lang w:val="zh-CN" w:eastAsia="zh-CN"/>
    </w:rPr>
  </w:style>
  <w:style w:type="paragraph" w:customStyle="1" w:styleId="14">
    <w:name w:val="方案正文"/>
    <w:basedOn w:val="1"/>
    <w:link w:val="13"/>
    <w:qFormat/>
    <w:uiPriority w:val="0"/>
    <w:pPr>
      <w:spacing w:line="360" w:lineRule="auto"/>
      <w:ind w:firstLine="560" w:firstLineChars="200"/>
    </w:pPr>
    <w:rPr>
      <w:rFonts w:ascii="仿宋_GB2312" w:hAnsi="宋体" w:eastAsia="仿宋_GB2312"/>
      <w:kern w:val="0"/>
      <w:sz w:val="28"/>
      <w:szCs w:val="28"/>
      <w:lang w:val="zh-CN" w:eastAsia="zh-CN"/>
    </w:rPr>
  </w:style>
  <w:style w:type="paragraph" w:customStyle="1" w:styleId="15">
    <w:name w:val="Table Paragraph"/>
    <w:basedOn w:val="1"/>
    <w:qFormat/>
    <w:uiPriority w:val="99"/>
    <w:rPr>
      <w:rFonts w:eastAsia="仿宋_GB2312"/>
      <w:sz w:val="32"/>
    </w:rPr>
  </w:style>
  <w:style w:type="table" w:customStyle="1" w:styleId="16">
    <w:name w:val="Table Normal"/>
    <w:unhideWhenUsed/>
    <w:qFormat/>
    <w:uiPriority w:val="2"/>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2</Pages>
  <Words>866</Words>
  <Characters>172</Characters>
  <Lines>1</Lines>
  <Paragraphs>2</Paragraphs>
  <TotalTime>1</TotalTime>
  <ScaleCrop>false</ScaleCrop>
  <LinksUpToDate>false</LinksUpToDate>
  <CharactersWithSpaces>1036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2020-11-05T03:00:00Z</dcterms:created>
  <dc:creator>Legend User</dc:creator>
  <cp:lastModifiedBy>江门市监局</cp:lastModifiedBy>
  <cp:lastPrinted>2019-12-05T07:53:00Z</cp:lastPrinted>
  <dcterms:modified xsi:type="dcterms:W3CDTF">2021-08-10T10:21:27Z</dcterms:modified>
  <dc:title>××产品质量监督抽查实施细则</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