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江门市低压电路开关装置产品质量监督抽查实施细则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一、</w:t>
      </w:r>
      <w:r>
        <w:rPr>
          <w:rFonts w:hint="eastAsia" w:ascii="黑体" w:hAnsi="宋体" w:eastAsia="黑体"/>
          <w:szCs w:val="21"/>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szCs w:val="21"/>
        </w:rPr>
        <w:t>每批次产品抽取样品10个，其中7个作为检验样品，</w:t>
      </w:r>
      <w:r>
        <w:rPr>
          <w:szCs w:val="21"/>
        </w:rPr>
        <w:t>3</w:t>
      </w:r>
      <w:r>
        <w:rPr>
          <w:rFonts w:hint="eastAsia"/>
          <w:szCs w:val="21"/>
        </w:rPr>
        <w:t>个作为备用样品。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黑体" w:hAnsi="宋体" w:eastAsia="黑体"/>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二、</w:t>
      </w:r>
      <w:r>
        <w:rPr>
          <w:rFonts w:hint="eastAsia" w:ascii="黑体" w:hAnsi="宋体" w:eastAsia="黑体"/>
          <w:szCs w:val="21"/>
        </w:rPr>
        <w:t>主要检验项目及检验项目属性划分</w:t>
      </w:r>
    </w:p>
    <w:tbl>
      <w:tblPr>
        <w:tblStyle w:val="5"/>
        <w:tblW w:w="8316"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08"/>
        <w:gridCol w:w="2085"/>
        <w:gridCol w:w="1542"/>
        <w:gridCol w:w="836"/>
        <w:gridCol w:w="836"/>
        <w:gridCol w:w="836"/>
        <w:gridCol w:w="836"/>
        <w:gridCol w:w="8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7" w:hRule="atLeast"/>
          <w:tblHeader/>
          <w:jc w:val="center"/>
        </w:trPr>
        <w:tc>
          <w:tcPr>
            <w:tcW w:w="508" w:type="dxa"/>
            <w:shd w:val="clear" w:color="auto" w:fill="auto"/>
            <w:vAlign w:val="center"/>
          </w:tcPr>
          <w:p>
            <w:pPr>
              <w:adjustRightInd w:val="0"/>
              <w:snapToGrid w:val="0"/>
              <w:jc w:val="center"/>
              <w:rPr>
                <w:szCs w:val="21"/>
              </w:rPr>
            </w:pPr>
            <w:r>
              <w:rPr>
                <w:szCs w:val="21"/>
              </w:rPr>
              <w:t>序号</w:t>
            </w:r>
          </w:p>
        </w:tc>
        <w:tc>
          <w:tcPr>
            <w:tcW w:w="2085" w:type="dxa"/>
            <w:shd w:val="clear" w:color="auto" w:fill="auto"/>
            <w:vAlign w:val="center"/>
          </w:tcPr>
          <w:p>
            <w:pPr>
              <w:adjustRightInd w:val="0"/>
              <w:snapToGrid w:val="0"/>
              <w:jc w:val="center"/>
              <w:rPr>
                <w:szCs w:val="21"/>
              </w:rPr>
            </w:pPr>
            <w:r>
              <w:rPr>
                <w:szCs w:val="21"/>
              </w:rPr>
              <w:t>检验项目</w:t>
            </w:r>
          </w:p>
        </w:tc>
        <w:tc>
          <w:tcPr>
            <w:tcW w:w="1542" w:type="dxa"/>
            <w:shd w:val="clear" w:color="auto" w:fill="auto"/>
            <w:vAlign w:val="center"/>
          </w:tcPr>
          <w:p>
            <w:pPr>
              <w:adjustRightInd w:val="0"/>
              <w:snapToGrid w:val="0"/>
              <w:jc w:val="center"/>
              <w:rPr>
                <w:szCs w:val="21"/>
              </w:rPr>
            </w:pPr>
            <w:r>
              <w:rPr>
                <w:szCs w:val="21"/>
              </w:rPr>
              <w:t>检验方法</w:t>
            </w:r>
          </w:p>
        </w:tc>
        <w:tc>
          <w:tcPr>
            <w:tcW w:w="836" w:type="dxa"/>
            <w:shd w:val="clear" w:color="auto" w:fill="auto"/>
            <w:vAlign w:val="center"/>
          </w:tcPr>
          <w:p>
            <w:pPr>
              <w:adjustRightInd w:val="0"/>
              <w:snapToGrid w:val="0"/>
              <w:jc w:val="center"/>
              <w:rPr>
                <w:szCs w:val="21"/>
              </w:rPr>
            </w:pPr>
            <w:r>
              <w:rPr>
                <w:szCs w:val="21"/>
              </w:rPr>
              <w:t>强制性</w:t>
            </w:r>
          </w:p>
        </w:tc>
        <w:tc>
          <w:tcPr>
            <w:tcW w:w="836" w:type="dxa"/>
            <w:shd w:val="clear" w:color="auto" w:fill="auto"/>
            <w:vAlign w:val="center"/>
          </w:tcPr>
          <w:p>
            <w:pPr>
              <w:adjustRightInd w:val="0"/>
              <w:snapToGrid w:val="0"/>
              <w:jc w:val="center"/>
              <w:rPr>
                <w:szCs w:val="21"/>
              </w:rPr>
            </w:pPr>
            <w:r>
              <w:rPr>
                <w:szCs w:val="21"/>
              </w:rPr>
              <w:t>非强制性</w:t>
            </w:r>
          </w:p>
        </w:tc>
        <w:tc>
          <w:tcPr>
            <w:tcW w:w="836" w:type="dxa"/>
            <w:shd w:val="clear" w:color="auto" w:fill="auto"/>
            <w:vAlign w:val="center"/>
          </w:tcPr>
          <w:p>
            <w:pPr>
              <w:adjustRightInd w:val="0"/>
              <w:snapToGrid w:val="0"/>
              <w:jc w:val="center"/>
              <w:rPr>
                <w:szCs w:val="21"/>
              </w:rPr>
            </w:pPr>
            <w:r>
              <w:rPr>
                <w:szCs w:val="21"/>
              </w:rPr>
              <w:t>重要项</w:t>
            </w:r>
          </w:p>
        </w:tc>
        <w:tc>
          <w:tcPr>
            <w:tcW w:w="836" w:type="dxa"/>
            <w:shd w:val="clear" w:color="auto" w:fill="auto"/>
            <w:vAlign w:val="center"/>
          </w:tcPr>
          <w:p>
            <w:pPr>
              <w:adjustRightInd w:val="0"/>
              <w:snapToGrid w:val="0"/>
              <w:jc w:val="center"/>
              <w:rPr>
                <w:szCs w:val="21"/>
              </w:rPr>
            </w:pPr>
            <w:r>
              <w:rPr>
                <w:szCs w:val="21"/>
              </w:rPr>
              <w:t>较重要项</w:t>
            </w:r>
          </w:p>
        </w:tc>
        <w:tc>
          <w:tcPr>
            <w:tcW w:w="837" w:type="dxa"/>
            <w:shd w:val="clear" w:color="auto" w:fill="auto"/>
            <w:vAlign w:val="center"/>
          </w:tcPr>
          <w:p>
            <w:pPr>
              <w:adjustRightInd w:val="0"/>
              <w:snapToGrid w:val="0"/>
              <w:jc w:val="center"/>
              <w:rPr>
                <w:szCs w:val="21"/>
              </w:rPr>
            </w:pPr>
            <w:r>
              <w:rPr>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1</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标志</w:t>
            </w:r>
          </w:p>
        </w:tc>
        <w:tc>
          <w:tcPr>
            <w:tcW w:w="1542" w:type="dxa"/>
            <w:vMerge w:val="restart"/>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kern w:val="0"/>
                <w:szCs w:val="21"/>
              </w:rPr>
            </w:pPr>
            <w:r>
              <w:rPr>
                <w:rFonts w:hint="eastAsia"/>
                <w:kern w:val="0"/>
                <w:szCs w:val="21"/>
              </w:rPr>
              <w:t>GB/T16915.1-</w:t>
            </w:r>
            <w:r>
              <w:rPr>
                <w:kern w:val="0"/>
                <w:szCs w:val="21"/>
              </w:rPr>
              <w:t>2014</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2</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防触电保护</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3</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接地措施</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4</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结构要求</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5</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端子</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6</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kern w:val="0"/>
                <w:szCs w:val="21"/>
              </w:rPr>
            </w:pPr>
            <w:r>
              <w:rPr>
                <w:rFonts w:hint="eastAsia"/>
                <w:kern w:val="0"/>
                <w:szCs w:val="21"/>
              </w:rPr>
              <w:t>防</w:t>
            </w:r>
            <w:r>
              <w:rPr>
                <w:kern w:val="0"/>
                <w:szCs w:val="21"/>
              </w:rPr>
              <w:t>潮</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7</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kern w:val="0"/>
                <w:szCs w:val="21"/>
              </w:rPr>
            </w:pPr>
            <w:r>
              <w:rPr>
                <w:kern w:val="0"/>
                <w:szCs w:val="21"/>
              </w:rPr>
              <w:t>绝缘电阻和电气强度</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8</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kern w:val="0"/>
                <w:szCs w:val="21"/>
              </w:rPr>
            </w:pPr>
            <w:r>
              <w:rPr>
                <w:rFonts w:hint="eastAsia"/>
                <w:kern w:val="0"/>
                <w:szCs w:val="21"/>
              </w:rPr>
              <w:t>通断能力</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kern w:val="0"/>
                <w:szCs w:val="21"/>
              </w:rPr>
            </w:pPr>
            <w:r>
              <w:rPr>
                <w:rFonts w:hint="eastAsia"/>
                <w:kern w:val="0"/>
                <w:szCs w:val="21"/>
              </w:rPr>
              <w:t>（只做18.1）</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9</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kern w:val="0"/>
                <w:szCs w:val="21"/>
              </w:rPr>
            </w:pPr>
            <w:r>
              <w:rPr>
                <w:rFonts w:hint="eastAsia"/>
                <w:kern w:val="0"/>
                <w:szCs w:val="21"/>
              </w:rPr>
              <w:t>正常操作</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kern w:val="0"/>
                <w:szCs w:val="21"/>
              </w:rPr>
            </w:pPr>
            <w:r>
              <w:rPr>
                <w:rFonts w:hint="eastAsia"/>
                <w:kern w:val="0"/>
                <w:szCs w:val="21"/>
              </w:rPr>
              <w:t>（只做19.1）</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10</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kern w:val="0"/>
                <w:szCs w:val="21"/>
              </w:rPr>
            </w:pPr>
            <w:r>
              <w:rPr>
                <w:rFonts w:hint="eastAsia"/>
                <w:kern w:val="0"/>
                <w:szCs w:val="21"/>
              </w:rPr>
              <w:t>温升</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11</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机械强度</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12</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耐热</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13</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螺钉、载流部件和连接</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14</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爬电距离、电气间隙和通过密封胶的距离</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5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r>
              <w:rPr>
                <w:rFonts w:hint="eastAsia"/>
                <w:kern w:val="0"/>
                <w:szCs w:val="21"/>
              </w:rPr>
              <w:t>15</w:t>
            </w: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kern w:val="0"/>
                <w:szCs w:val="21"/>
              </w:rPr>
            </w:pPr>
            <w:r>
              <w:rPr>
                <w:rFonts w:hint="eastAsia"/>
                <w:kern w:val="0"/>
                <w:szCs w:val="21"/>
              </w:rPr>
              <w:t>绝缘材料的耐非正常热、耐燃和耐漏电痕化</w:t>
            </w:r>
          </w:p>
        </w:tc>
        <w:tc>
          <w:tcPr>
            <w:tcW w:w="15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83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c>
          <w:tcPr>
            <w:tcW w:w="837" w:type="dxa"/>
            <w:shd w:val="clear" w:color="auto" w:fill="auto"/>
            <w:vAlign w:val="center"/>
          </w:tcPr>
          <w:p>
            <w:pPr>
              <w:pStyle w:val="1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rPr>
            </w:pPr>
          </w:p>
        </w:tc>
      </w:tr>
    </w:tbl>
    <w:p>
      <w:pPr>
        <w:snapToGrid w:val="0"/>
        <w:spacing w:line="440" w:lineRule="exact"/>
        <w:ind w:firstLine="359" w:firstLineChars="171"/>
        <w:rPr>
          <w:rFonts w:ascii="宋体" w:hAnsi="宋体"/>
        </w:rPr>
      </w:pPr>
      <w:r>
        <w:rPr>
          <w:rFonts w:hint="eastAsia" w:ascii="宋体" w:hAnsi="宋体"/>
          <w:lang w:val="en-US" w:eastAsia="zh-CN"/>
        </w:rPr>
        <w:t>注：</w:t>
      </w:r>
      <w:r>
        <w:rPr>
          <w:rFonts w:hint="eastAsia" w:ascii="宋体" w:hAnsi="宋体"/>
        </w:rPr>
        <w:t>执行企业标准、团体标准、地方标准的产品，检验项目参照上述内容执行。</w:t>
      </w:r>
    </w:p>
    <w:p>
      <w:pPr>
        <w:snapToGrid w:val="0"/>
        <w:spacing w:line="440" w:lineRule="exact"/>
        <w:ind w:firstLine="359" w:firstLineChars="171"/>
        <w:rPr>
          <w:rFonts w:ascii="宋体" w:hAnsi="宋体"/>
          <w:szCs w:val="21"/>
        </w:rPr>
      </w:pPr>
      <w:bookmarkStart w:id="0" w:name="_GoBack"/>
      <w:bookmarkEnd w:id="0"/>
      <w:r>
        <w:rPr>
          <w:rFonts w:hint="eastAsia" w:ascii="宋体" w:hAnsi="宋体"/>
        </w:rPr>
        <w:t>凡是注日期的文件，其随后所有的修改单（不包括勘误的内容）或修订版不适用于本细则。凡是不注日期的文件，其最新版本适用于本细则。</w:t>
      </w:r>
    </w:p>
    <w:p>
      <w:pPr>
        <w:spacing w:line="360" w:lineRule="auto"/>
        <w:rPr>
          <w:rFonts w:hint="eastAsia" w:ascii="黑体" w:hAnsi="黑体" w:eastAsia="黑体"/>
          <w:szCs w:val="21"/>
          <w:lang w:val="en-US" w:eastAsia="zh-CN"/>
        </w:rPr>
      </w:pP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黑体" w:hAnsi="黑体" w:eastAsia="黑体"/>
          <w:szCs w:val="21"/>
        </w:rPr>
      </w:pPr>
      <w:r>
        <w:rPr>
          <w:rFonts w:hint="eastAsia" w:ascii="黑体" w:hAnsi="黑体" w:eastAsia="黑体"/>
          <w:szCs w:val="21"/>
          <w:lang w:val="en-US" w:eastAsia="zh-CN"/>
        </w:rPr>
        <w:t>三、</w:t>
      </w:r>
      <w:r>
        <w:rPr>
          <w:rFonts w:hint="eastAsia" w:ascii="黑体" w:hAnsi="黑体" w:eastAsia="黑体"/>
          <w:szCs w:val="21"/>
        </w:rPr>
        <w:t>判定规则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一</w:t>
      </w:r>
      <w:r>
        <w:rPr>
          <w:rFonts w:hint="eastAsia" w:ascii="宋体" w:hAnsi="宋体"/>
          <w:szCs w:val="21"/>
          <w:lang w:eastAsia="zh-CN"/>
        </w:rPr>
        <w:t>）</w:t>
      </w:r>
      <w:r>
        <w:rPr>
          <w:rFonts w:hint="eastAsia" w:ascii="宋体" w:hAnsi="宋体"/>
          <w:szCs w:val="21"/>
        </w:rPr>
        <w:t>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GB/T 16915.1-2014 《家用和类似用途固定式电气装置的开关  第一部分：通用要求》</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现行有效的企业标准和产品明示指标或其他相适应的产品标准。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二</w:t>
      </w:r>
      <w:r>
        <w:rPr>
          <w:rFonts w:hint="eastAsia" w:ascii="宋体" w:hAnsi="宋体"/>
          <w:szCs w:val="21"/>
          <w:lang w:eastAsia="zh-CN"/>
        </w:rPr>
        <w:t>）</w:t>
      </w:r>
      <w:r>
        <w:rPr>
          <w:rFonts w:hint="eastAsia" w:ascii="宋体" w:hAnsi="宋体"/>
          <w:szCs w:val="21"/>
        </w:rPr>
        <w:t>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r>
        <w:rPr>
          <w:rFonts w:hint="eastAsia" w:ascii="宋体" w:hAnsi="宋体"/>
          <w:szCs w:val="21"/>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当被检样品明示的质量要求优于监督抽查实施细则中依据的标准要求时，应按被检样品明示的质量要求判定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当被检样品明示的质量要求劣于或不包含监督抽查实施细则中依据的强制性标准要求时，应按照强制性标准要求判定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当被检样品明示的质量要求劣于或包含监督抽查实施细则中依据的推荐性标准要求时，应以被检样品明示的质量要求判定，如相应检验结果不符合相关推荐性标准要求时，应在检验报告中予以说明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当被检样品明示的质量要求不包含监督抽查实施细则中依据的推荐性标准要求时，该指标不参与判定，但应在检验报告中作出说明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当被检样品未能提供有效的企业标准时，按相关国家或行业标准进行判定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按照产品质量相关法律法规的规定判定。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检验中发现因样品失效或者其他原因致使检验无法进行的，检验人员应如实记录，并提供相关证明材料，报送组织监督抽查的市场监管部门。</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eastAsia="zh-CN"/>
      </w:rPr>
      <w:fldChar w:fldCharType="begin"/>
    </w:r>
    <w:r>
      <w:rPr>
        <w:lang w:val="zh-CN" w:eastAsia="zh-CN"/>
      </w:rPr>
      <w:instrText xml:space="preserve"> PAGE   \* MERGEFORMAT </w:instrText>
    </w:r>
    <w:r>
      <w:rPr>
        <w:lang w:val="zh-CN" w:eastAsia="zh-CN"/>
      </w:rPr>
      <w:fldChar w:fldCharType="separate"/>
    </w:r>
    <w:r>
      <w:rPr>
        <w:lang w:val="en-US" w:eastAsia="zh-CN"/>
      </w:rPr>
      <w:t>2</w:t>
    </w:r>
    <w:r>
      <w:rPr>
        <w:lang w:val="zh-CN" w:eastAsia="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47BC8"/>
    <w:rsid w:val="00051A44"/>
    <w:rsid w:val="00065282"/>
    <w:rsid w:val="00081CBD"/>
    <w:rsid w:val="000976DE"/>
    <w:rsid w:val="00172A27"/>
    <w:rsid w:val="001809DD"/>
    <w:rsid w:val="001D3F42"/>
    <w:rsid w:val="001E45FA"/>
    <w:rsid w:val="001E6534"/>
    <w:rsid w:val="001F7503"/>
    <w:rsid w:val="00211261"/>
    <w:rsid w:val="00232530"/>
    <w:rsid w:val="0023606F"/>
    <w:rsid w:val="00240BAF"/>
    <w:rsid w:val="00253624"/>
    <w:rsid w:val="00256CDB"/>
    <w:rsid w:val="002C2EDA"/>
    <w:rsid w:val="002D7F8A"/>
    <w:rsid w:val="002E0D1D"/>
    <w:rsid w:val="003203A3"/>
    <w:rsid w:val="00352295"/>
    <w:rsid w:val="00365CBE"/>
    <w:rsid w:val="00380BC2"/>
    <w:rsid w:val="00382E1F"/>
    <w:rsid w:val="003A7CDE"/>
    <w:rsid w:val="003A7D30"/>
    <w:rsid w:val="003C388C"/>
    <w:rsid w:val="003E61BF"/>
    <w:rsid w:val="004104AC"/>
    <w:rsid w:val="00413A85"/>
    <w:rsid w:val="00445E86"/>
    <w:rsid w:val="00474E04"/>
    <w:rsid w:val="004912C0"/>
    <w:rsid w:val="004A2D01"/>
    <w:rsid w:val="004A66D5"/>
    <w:rsid w:val="004B00EF"/>
    <w:rsid w:val="004B51FD"/>
    <w:rsid w:val="004D0C5A"/>
    <w:rsid w:val="004E1396"/>
    <w:rsid w:val="004E3259"/>
    <w:rsid w:val="005245BE"/>
    <w:rsid w:val="005544BD"/>
    <w:rsid w:val="00563EBC"/>
    <w:rsid w:val="0058431B"/>
    <w:rsid w:val="005D78D5"/>
    <w:rsid w:val="005F1D46"/>
    <w:rsid w:val="005F7B92"/>
    <w:rsid w:val="00614D5B"/>
    <w:rsid w:val="006B422C"/>
    <w:rsid w:val="006E0C7B"/>
    <w:rsid w:val="006E1171"/>
    <w:rsid w:val="006F0971"/>
    <w:rsid w:val="0072334C"/>
    <w:rsid w:val="00725B38"/>
    <w:rsid w:val="00732F56"/>
    <w:rsid w:val="007553CD"/>
    <w:rsid w:val="007607C6"/>
    <w:rsid w:val="00777512"/>
    <w:rsid w:val="0081117C"/>
    <w:rsid w:val="00824C73"/>
    <w:rsid w:val="0084371C"/>
    <w:rsid w:val="008925D0"/>
    <w:rsid w:val="00895BEA"/>
    <w:rsid w:val="008A3497"/>
    <w:rsid w:val="008A718C"/>
    <w:rsid w:val="008B4316"/>
    <w:rsid w:val="008E1F6F"/>
    <w:rsid w:val="00917A54"/>
    <w:rsid w:val="00940C7E"/>
    <w:rsid w:val="00960D38"/>
    <w:rsid w:val="00965904"/>
    <w:rsid w:val="00970C00"/>
    <w:rsid w:val="009B568C"/>
    <w:rsid w:val="009B7EFE"/>
    <w:rsid w:val="009F2545"/>
    <w:rsid w:val="009F5ACE"/>
    <w:rsid w:val="00A43553"/>
    <w:rsid w:val="00AA1AF9"/>
    <w:rsid w:val="00AA298F"/>
    <w:rsid w:val="00AC5391"/>
    <w:rsid w:val="00B333A4"/>
    <w:rsid w:val="00B62E7B"/>
    <w:rsid w:val="00B75CFF"/>
    <w:rsid w:val="00B92C57"/>
    <w:rsid w:val="00BA5F40"/>
    <w:rsid w:val="00BF2B8C"/>
    <w:rsid w:val="00BF4F8C"/>
    <w:rsid w:val="00C20DD6"/>
    <w:rsid w:val="00C26074"/>
    <w:rsid w:val="00C315EA"/>
    <w:rsid w:val="00C72ACE"/>
    <w:rsid w:val="00C76BC7"/>
    <w:rsid w:val="00C83B0A"/>
    <w:rsid w:val="00C97F5C"/>
    <w:rsid w:val="00CA1ACE"/>
    <w:rsid w:val="00CC72A9"/>
    <w:rsid w:val="00CE1E0C"/>
    <w:rsid w:val="00CE277E"/>
    <w:rsid w:val="00CF442E"/>
    <w:rsid w:val="00D01F0E"/>
    <w:rsid w:val="00D22024"/>
    <w:rsid w:val="00D56867"/>
    <w:rsid w:val="00D61476"/>
    <w:rsid w:val="00D8267F"/>
    <w:rsid w:val="00D87B4F"/>
    <w:rsid w:val="00DD2C11"/>
    <w:rsid w:val="00DD5C43"/>
    <w:rsid w:val="00DE2A74"/>
    <w:rsid w:val="00DE5F11"/>
    <w:rsid w:val="00E02A7F"/>
    <w:rsid w:val="00E07880"/>
    <w:rsid w:val="00E31131"/>
    <w:rsid w:val="00E312C7"/>
    <w:rsid w:val="00E379D2"/>
    <w:rsid w:val="00E82621"/>
    <w:rsid w:val="00EC2809"/>
    <w:rsid w:val="00ED5B7A"/>
    <w:rsid w:val="00ED72FD"/>
    <w:rsid w:val="00EF4319"/>
    <w:rsid w:val="00F24F6D"/>
    <w:rsid w:val="00F2603F"/>
    <w:rsid w:val="00F43F54"/>
    <w:rsid w:val="00F50137"/>
    <w:rsid w:val="00F525A6"/>
    <w:rsid w:val="00F56DBA"/>
    <w:rsid w:val="00F64407"/>
    <w:rsid w:val="00F75CDC"/>
    <w:rsid w:val="00F7641A"/>
    <w:rsid w:val="00F77C9A"/>
    <w:rsid w:val="00FB576C"/>
    <w:rsid w:val="00FC3215"/>
    <w:rsid w:val="00FD2AA6"/>
    <w:rsid w:val="00FD66D5"/>
    <w:rsid w:val="00FE7137"/>
    <w:rsid w:val="00FE7E8A"/>
    <w:rsid w:val="02A60C72"/>
    <w:rsid w:val="07DF0BD0"/>
    <w:rsid w:val="19080066"/>
    <w:rsid w:val="1EBA2EE9"/>
    <w:rsid w:val="2C73685D"/>
    <w:rsid w:val="32853076"/>
    <w:rsid w:val="51D725A6"/>
    <w:rsid w:val="587326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lang w:val="zh-CN" w:eastAsia="zh-CN"/>
    </w:rPr>
  </w:style>
  <w:style w:type="paragraph" w:styleId="3">
    <w:name w:val="footer"/>
    <w:basedOn w:val="1"/>
    <w:link w:val="9"/>
    <w:unhideWhenUsed/>
    <w:qFormat/>
    <w:uiPriority w:val="99"/>
    <w:pPr>
      <w:tabs>
        <w:tab w:val="center" w:pos="4153"/>
        <w:tab w:val="right" w:pos="8306"/>
      </w:tabs>
      <w:snapToGrid w:val="0"/>
      <w:jc w:val="left"/>
    </w:pPr>
    <w:rPr>
      <w:sz w:val="18"/>
      <w:szCs w:val="18"/>
      <w:lang w:val="zh-CN" w:eastAsia="zh-CN"/>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link w:val="3"/>
    <w:qFormat/>
    <w:uiPriority w:val="99"/>
    <w:rPr>
      <w:kern w:val="2"/>
      <w:sz w:val="18"/>
      <w:szCs w:val="18"/>
    </w:rPr>
  </w:style>
  <w:style w:type="character" w:customStyle="1" w:styleId="10">
    <w:name w:val="页眉 Char"/>
    <w:link w:val="4"/>
    <w:semiHidden/>
    <w:qFormat/>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批注框文本 Char"/>
    <w:link w:val="2"/>
    <w:semiHidden/>
    <w:qFormat/>
    <w:uiPriority w:val="99"/>
    <w:rPr>
      <w:kern w:val="2"/>
      <w:sz w:val="18"/>
      <w:szCs w:val="18"/>
    </w:rPr>
  </w:style>
  <w:style w:type="character" w:customStyle="1" w:styleId="13">
    <w:name w:val="方案正文 Char"/>
    <w:link w:val="14"/>
    <w:qFormat/>
    <w:locked/>
    <w:uiPriority w:val="0"/>
    <w:rPr>
      <w:rFonts w:ascii="仿宋_GB2312" w:hAnsi="宋体" w:eastAsia="仿宋_GB2312"/>
      <w:sz w:val="28"/>
      <w:szCs w:val="28"/>
      <w:lang w:val="zh-CN" w:eastAsia="zh-CN"/>
    </w:rPr>
  </w:style>
  <w:style w:type="paragraph" w:customStyle="1" w:styleId="14">
    <w:name w:val="方案正文"/>
    <w:basedOn w:val="1"/>
    <w:link w:val="13"/>
    <w:qFormat/>
    <w:uiPriority w:val="0"/>
    <w:pPr>
      <w:spacing w:line="360" w:lineRule="auto"/>
      <w:ind w:firstLine="560" w:firstLineChars="200"/>
    </w:pPr>
    <w:rPr>
      <w:rFonts w:ascii="仿宋_GB2312" w:hAnsi="宋体" w:eastAsia="仿宋_GB2312"/>
      <w:kern w:val="0"/>
      <w:sz w:val="28"/>
      <w:szCs w:val="28"/>
      <w:lang w:val="zh-CN" w:eastAsia="zh-CN"/>
    </w:rPr>
  </w:style>
  <w:style w:type="paragraph" w:customStyle="1" w:styleId="15">
    <w:name w:val="Table Paragraph"/>
    <w:basedOn w:val="1"/>
    <w:qFormat/>
    <w:uiPriority w:val="99"/>
    <w:rPr>
      <w:rFonts w:eastAsia="仿宋_GB2312"/>
      <w:sz w:val="32"/>
    </w:rPr>
  </w:style>
  <w:style w:type="table" w:customStyle="1" w:styleId="16">
    <w:name w:val="Table Normal"/>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974</Words>
  <Characters>230</Characters>
  <Lines>1</Lines>
  <Paragraphs>2</Paragraphs>
  <TotalTime>0</TotalTime>
  <ScaleCrop>false</ScaleCrop>
  <LinksUpToDate>false</LinksUpToDate>
  <CharactersWithSpaces>1202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2021-04-02T08:19:00Z</dcterms:created>
  <dc:creator>Legend User</dc:creator>
  <cp:lastModifiedBy>江门市监局</cp:lastModifiedBy>
  <cp:lastPrinted>2019-12-05T07:53:00Z</cp:lastPrinted>
  <dcterms:modified xsi:type="dcterms:W3CDTF">2021-08-10T03:06:22Z</dcterms:modified>
  <dc:title>××产品质量监督抽查实施细则</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