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江门市摩托车轮胎产品质量监督抽查实施细则</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仿宋" w:eastAsia="方正小标宋简体" w:cs="方正仿宋简体"/>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黑体" w:hAnsi="宋体" w:eastAsia="黑体"/>
          <w:szCs w:val="21"/>
        </w:rPr>
      </w:pPr>
      <w:r>
        <w:rPr>
          <w:rFonts w:hint="eastAsia" w:ascii="黑体" w:hAnsi="宋体" w:eastAsia="黑体"/>
          <w:szCs w:val="21"/>
          <w:lang w:val="en-US" w:eastAsia="zh-CN"/>
        </w:rPr>
        <w:t>一、</w:t>
      </w:r>
      <w:r>
        <w:rPr>
          <w:rFonts w:hint="eastAsia" w:ascii="黑体" w:hAnsi="宋体" w:eastAsia="黑体"/>
          <w:szCs w:val="21"/>
        </w:rPr>
        <w:t>抽样方法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szCs w:val="21"/>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szCs w:val="21"/>
        </w:rPr>
      </w:pPr>
      <w:r>
        <w:rPr>
          <w:rFonts w:hint="eastAsia"/>
          <w:szCs w:val="21"/>
        </w:rPr>
        <w:t>每批次产品抽取样品6套，其中3套作为检验样品，</w:t>
      </w:r>
      <w:r>
        <w:rPr>
          <w:szCs w:val="21"/>
        </w:rPr>
        <w:t>3</w:t>
      </w:r>
      <w:r>
        <w:rPr>
          <w:rFonts w:hint="eastAsia"/>
          <w:szCs w:val="21"/>
        </w:rPr>
        <w:t>套作为备用样品，对于摩托车轮胎产品检验所需的层级、负荷指数、负荷能力、充气压力等信息，如果样品轮胎胎侧标示的信息与国家标准不一致，需要商家在抽样现场提供样品说明，明确相应检验参数，并经商家</w:t>
      </w:r>
      <w:r>
        <w:rPr>
          <w:rFonts w:hint="eastAsia" w:cs="仿宋_GB2312"/>
          <w:szCs w:val="32"/>
        </w:rPr>
        <w:t>加盖公章和签字予以</w:t>
      </w:r>
      <w:r>
        <w:rPr>
          <w:rFonts w:hint="eastAsia"/>
          <w:szCs w:val="21"/>
        </w:rPr>
        <w:t>确认。对于有内胎轮胎，还应配备对应摩托车轮胎内胎。</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黑体" w:hAnsi="宋体" w:eastAsia="黑体"/>
          <w:szCs w:val="21"/>
        </w:rPr>
      </w:pPr>
      <w:r>
        <w:rPr>
          <w:rFonts w:hint="eastAsia" w:ascii="黑体" w:hAnsi="宋体" w:eastAsia="黑体"/>
          <w:szCs w:val="21"/>
          <w:lang w:val="en-US" w:eastAsia="zh-CN"/>
        </w:rPr>
        <w:t>二、</w:t>
      </w:r>
      <w:r>
        <w:rPr>
          <w:rFonts w:hint="eastAsia" w:ascii="黑体" w:hAnsi="宋体" w:eastAsia="黑体"/>
          <w:szCs w:val="21"/>
        </w:rPr>
        <w:t>主要检验项目及检验项目属性划分</w:t>
      </w:r>
    </w:p>
    <w:tbl>
      <w:tblPr>
        <w:tblStyle w:val="5"/>
        <w:tblW w:w="8316" w:type="dxa"/>
        <w:jc w:val="center"/>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5"/>
        <w:gridCol w:w="1509"/>
        <w:gridCol w:w="2464"/>
        <w:gridCol w:w="700"/>
        <w:gridCol w:w="783"/>
        <w:gridCol w:w="700"/>
        <w:gridCol w:w="767"/>
        <w:gridCol w:w="7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7" w:hRule="atLeast"/>
          <w:tblHeader/>
          <w:jc w:val="center"/>
        </w:trPr>
        <w:tc>
          <w:tcPr>
            <w:tcW w:w="655" w:type="dxa"/>
            <w:shd w:val="clear" w:color="auto" w:fill="auto"/>
            <w:vAlign w:val="center"/>
          </w:tcPr>
          <w:p>
            <w:pPr>
              <w:adjustRightInd w:val="0"/>
              <w:snapToGrid w:val="0"/>
              <w:jc w:val="center"/>
              <w:rPr>
                <w:szCs w:val="21"/>
              </w:rPr>
            </w:pPr>
            <w:bookmarkStart w:id="0" w:name="_GoBack"/>
            <w:r>
              <w:rPr>
                <w:szCs w:val="21"/>
              </w:rPr>
              <w:t>序号</w:t>
            </w:r>
          </w:p>
        </w:tc>
        <w:tc>
          <w:tcPr>
            <w:tcW w:w="1509" w:type="dxa"/>
            <w:shd w:val="clear" w:color="auto" w:fill="auto"/>
            <w:vAlign w:val="center"/>
          </w:tcPr>
          <w:p>
            <w:pPr>
              <w:adjustRightInd w:val="0"/>
              <w:snapToGrid w:val="0"/>
              <w:jc w:val="center"/>
              <w:rPr>
                <w:szCs w:val="21"/>
              </w:rPr>
            </w:pPr>
            <w:r>
              <w:rPr>
                <w:szCs w:val="21"/>
              </w:rPr>
              <w:t>检验项目</w:t>
            </w:r>
          </w:p>
        </w:tc>
        <w:tc>
          <w:tcPr>
            <w:tcW w:w="2464" w:type="dxa"/>
            <w:shd w:val="clear" w:color="auto" w:fill="auto"/>
            <w:vAlign w:val="center"/>
          </w:tcPr>
          <w:p>
            <w:pPr>
              <w:adjustRightInd w:val="0"/>
              <w:snapToGrid w:val="0"/>
              <w:jc w:val="center"/>
              <w:rPr>
                <w:szCs w:val="21"/>
              </w:rPr>
            </w:pPr>
            <w:r>
              <w:rPr>
                <w:szCs w:val="21"/>
              </w:rPr>
              <w:t>检验方法</w:t>
            </w:r>
          </w:p>
        </w:tc>
        <w:tc>
          <w:tcPr>
            <w:tcW w:w="700" w:type="dxa"/>
            <w:shd w:val="clear" w:color="auto" w:fill="auto"/>
            <w:vAlign w:val="center"/>
          </w:tcPr>
          <w:p>
            <w:pPr>
              <w:adjustRightInd w:val="0"/>
              <w:snapToGrid w:val="0"/>
              <w:jc w:val="center"/>
              <w:rPr>
                <w:szCs w:val="21"/>
              </w:rPr>
            </w:pPr>
            <w:r>
              <w:rPr>
                <w:szCs w:val="21"/>
              </w:rPr>
              <w:t>强制性</w:t>
            </w:r>
          </w:p>
        </w:tc>
        <w:tc>
          <w:tcPr>
            <w:tcW w:w="783" w:type="dxa"/>
            <w:shd w:val="clear" w:color="auto" w:fill="auto"/>
            <w:vAlign w:val="center"/>
          </w:tcPr>
          <w:p>
            <w:pPr>
              <w:adjustRightInd w:val="0"/>
              <w:snapToGrid w:val="0"/>
              <w:jc w:val="center"/>
              <w:rPr>
                <w:szCs w:val="21"/>
              </w:rPr>
            </w:pPr>
            <w:r>
              <w:rPr>
                <w:szCs w:val="21"/>
              </w:rPr>
              <w:t>非强</w:t>
            </w:r>
          </w:p>
          <w:p>
            <w:pPr>
              <w:adjustRightInd w:val="0"/>
              <w:snapToGrid w:val="0"/>
              <w:jc w:val="center"/>
              <w:rPr>
                <w:szCs w:val="21"/>
              </w:rPr>
            </w:pPr>
            <w:r>
              <w:rPr>
                <w:szCs w:val="21"/>
              </w:rPr>
              <w:t>制性</w:t>
            </w:r>
          </w:p>
        </w:tc>
        <w:tc>
          <w:tcPr>
            <w:tcW w:w="700" w:type="dxa"/>
            <w:shd w:val="clear" w:color="auto" w:fill="auto"/>
            <w:vAlign w:val="center"/>
          </w:tcPr>
          <w:p>
            <w:pPr>
              <w:adjustRightInd w:val="0"/>
              <w:snapToGrid w:val="0"/>
              <w:jc w:val="center"/>
              <w:rPr>
                <w:szCs w:val="21"/>
              </w:rPr>
            </w:pPr>
            <w:r>
              <w:rPr>
                <w:szCs w:val="21"/>
              </w:rPr>
              <w:t>重要项</w:t>
            </w:r>
          </w:p>
        </w:tc>
        <w:tc>
          <w:tcPr>
            <w:tcW w:w="767" w:type="dxa"/>
            <w:shd w:val="clear" w:color="auto" w:fill="auto"/>
            <w:vAlign w:val="center"/>
          </w:tcPr>
          <w:p>
            <w:pPr>
              <w:adjustRightInd w:val="0"/>
              <w:snapToGrid w:val="0"/>
              <w:jc w:val="center"/>
              <w:rPr>
                <w:szCs w:val="21"/>
              </w:rPr>
            </w:pPr>
            <w:r>
              <w:rPr>
                <w:szCs w:val="21"/>
              </w:rPr>
              <w:t>较重</w:t>
            </w:r>
          </w:p>
          <w:p>
            <w:pPr>
              <w:adjustRightInd w:val="0"/>
              <w:snapToGrid w:val="0"/>
              <w:jc w:val="center"/>
              <w:rPr>
                <w:szCs w:val="21"/>
              </w:rPr>
            </w:pPr>
            <w:r>
              <w:rPr>
                <w:szCs w:val="21"/>
              </w:rPr>
              <w:t>要项</w:t>
            </w:r>
          </w:p>
        </w:tc>
        <w:tc>
          <w:tcPr>
            <w:tcW w:w="738" w:type="dxa"/>
            <w:shd w:val="clear" w:color="auto" w:fill="auto"/>
            <w:vAlign w:val="center"/>
          </w:tcPr>
          <w:p>
            <w:pPr>
              <w:adjustRightInd w:val="0"/>
              <w:snapToGrid w:val="0"/>
              <w:jc w:val="center"/>
              <w:rPr>
                <w:szCs w:val="21"/>
              </w:rPr>
            </w:pPr>
            <w:r>
              <w:rPr>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1</w:t>
            </w:r>
          </w:p>
        </w:tc>
        <w:tc>
          <w:tcPr>
            <w:tcW w:w="15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cs="仿宋_GB2312"/>
                <w:szCs w:val="21"/>
              </w:rPr>
            </w:pPr>
            <w:r>
              <w:rPr>
                <w:rFonts w:hint="eastAsia" w:cs="仿宋_GB2312"/>
                <w:szCs w:val="21"/>
              </w:rPr>
              <w:t>外缘尺寸测定</w:t>
            </w:r>
          </w:p>
        </w:tc>
        <w:tc>
          <w:tcPr>
            <w:tcW w:w="2464"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cs="仿宋_GB2312"/>
                <w:szCs w:val="21"/>
              </w:rPr>
            </w:pPr>
            <w:r>
              <w:rPr>
                <w:rFonts w:hint="eastAsia"/>
                <w:szCs w:val="21"/>
              </w:rPr>
              <w:t>GB 518-2007条款</w:t>
            </w:r>
            <w:r>
              <w:rPr>
                <w:szCs w:val="21"/>
              </w:rPr>
              <w:t>4.</w:t>
            </w:r>
            <w:r>
              <w:rPr>
                <w:rFonts w:hint="eastAsia"/>
                <w:szCs w:val="21"/>
              </w:rPr>
              <w:t>1</w:t>
            </w:r>
          </w:p>
        </w:tc>
        <w:tc>
          <w:tcPr>
            <w:tcW w:w="7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38"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8"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2</w:t>
            </w:r>
          </w:p>
        </w:tc>
        <w:tc>
          <w:tcPr>
            <w:tcW w:w="15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cs="仿宋_GB2312"/>
                <w:szCs w:val="21"/>
              </w:rPr>
            </w:pPr>
            <w:r>
              <w:rPr>
                <w:rFonts w:hint="eastAsia" w:cs="仿宋_GB2312"/>
                <w:szCs w:val="21"/>
              </w:rPr>
              <w:t>胎面磨耗</w:t>
            </w:r>
          </w:p>
        </w:tc>
        <w:tc>
          <w:tcPr>
            <w:tcW w:w="2464"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cs="仿宋_GB2312"/>
                <w:szCs w:val="21"/>
              </w:rPr>
            </w:pPr>
            <w:r>
              <w:rPr>
                <w:rFonts w:hint="eastAsia"/>
                <w:szCs w:val="21"/>
              </w:rPr>
              <w:t>GB 518-2007条款</w:t>
            </w:r>
            <w:r>
              <w:rPr>
                <w:szCs w:val="21"/>
              </w:rPr>
              <w:t>4.</w:t>
            </w:r>
            <w:r>
              <w:rPr>
                <w:rFonts w:hint="eastAsia"/>
                <w:szCs w:val="21"/>
              </w:rPr>
              <w:t>3</w:t>
            </w:r>
          </w:p>
        </w:tc>
        <w:tc>
          <w:tcPr>
            <w:tcW w:w="7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38"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3</w:t>
            </w:r>
          </w:p>
        </w:tc>
        <w:tc>
          <w:tcPr>
            <w:tcW w:w="15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cs="仿宋_GB2312"/>
                <w:szCs w:val="21"/>
              </w:rPr>
            </w:pPr>
            <w:r>
              <w:rPr>
                <w:rFonts w:hint="eastAsia" w:cs="仿宋_GB2312"/>
                <w:szCs w:val="21"/>
              </w:rPr>
              <w:t>强度性能</w:t>
            </w:r>
          </w:p>
        </w:tc>
        <w:tc>
          <w:tcPr>
            <w:tcW w:w="2464"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cs="仿宋_GB2312"/>
                <w:szCs w:val="21"/>
              </w:rPr>
            </w:pPr>
            <w:r>
              <w:rPr>
                <w:rFonts w:hint="eastAsia"/>
                <w:szCs w:val="21"/>
              </w:rPr>
              <w:t>GB 518-2007条款</w:t>
            </w:r>
            <w:r>
              <w:rPr>
                <w:szCs w:val="21"/>
              </w:rPr>
              <w:t>4.</w:t>
            </w:r>
            <w:r>
              <w:rPr>
                <w:rFonts w:hint="eastAsia"/>
                <w:szCs w:val="21"/>
              </w:rPr>
              <w:t>2.1</w:t>
            </w:r>
          </w:p>
        </w:tc>
        <w:tc>
          <w:tcPr>
            <w:tcW w:w="7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38"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4"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4</w:t>
            </w:r>
          </w:p>
        </w:tc>
        <w:tc>
          <w:tcPr>
            <w:tcW w:w="15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cs="仿宋_GB2312"/>
                <w:szCs w:val="21"/>
              </w:rPr>
            </w:pPr>
            <w:r>
              <w:rPr>
                <w:rFonts w:hint="eastAsia" w:cs="仿宋_GB2312"/>
                <w:szCs w:val="21"/>
              </w:rPr>
              <w:t>耐久性能</w:t>
            </w:r>
          </w:p>
        </w:tc>
        <w:tc>
          <w:tcPr>
            <w:tcW w:w="2464"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cs="仿宋_GB2312"/>
                <w:szCs w:val="21"/>
              </w:rPr>
            </w:pPr>
            <w:r>
              <w:rPr>
                <w:rFonts w:hint="eastAsia"/>
                <w:szCs w:val="21"/>
              </w:rPr>
              <w:t>GB 518-2007条款</w:t>
            </w:r>
            <w:r>
              <w:rPr>
                <w:szCs w:val="21"/>
              </w:rPr>
              <w:t>4.</w:t>
            </w:r>
            <w:r>
              <w:rPr>
                <w:rFonts w:hint="eastAsia"/>
                <w:szCs w:val="21"/>
              </w:rPr>
              <w:t>2.2</w:t>
            </w:r>
          </w:p>
        </w:tc>
        <w:tc>
          <w:tcPr>
            <w:tcW w:w="7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38"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5</w:t>
            </w:r>
          </w:p>
        </w:tc>
        <w:tc>
          <w:tcPr>
            <w:tcW w:w="15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cs="仿宋_GB2312"/>
                <w:szCs w:val="21"/>
              </w:rPr>
            </w:pPr>
            <w:r>
              <w:rPr>
                <w:rFonts w:hint="eastAsia" w:cs="仿宋_GB2312"/>
                <w:szCs w:val="21"/>
              </w:rPr>
              <w:t>高速性能</w:t>
            </w:r>
          </w:p>
        </w:tc>
        <w:tc>
          <w:tcPr>
            <w:tcW w:w="2464"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cs="仿宋_GB2312"/>
                <w:szCs w:val="21"/>
              </w:rPr>
            </w:pPr>
            <w:r>
              <w:rPr>
                <w:rFonts w:hint="eastAsia"/>
                <w:szCs w:val="21"/>
              </w:rPr>
              <w:t>GB 518-2007条款</w:t>
            </w:r>
            <w:r>
              <w:rPr>
                <w:szCs w:val="21"/>
              </w:rPr>
              <w:t>4.</w:t>
            </w:r>
            <w:r>
              <w:rPr>
                <w:rFonts w:hint="eastAsia"/>
                <w:szCs w:val="21"/>
              </w:rPr>
              <w:t>2.3</w:t>
            </w:r>
          </w:p>
        </w:tc>
        <w:tc>
          <w:tcPr>
            <w:tcW w:w="7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38"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6</w:t>
            </w:r>
          </w:p>
        </w:tc>
        <w:tc>
          <w:tcPr>
            <w:tcW w:w="15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cs="仿宋_GB2312"/>
                <w:szCs w:val="21"/>
              </w:rPr>
            </w:pPr>
            <w:r>
              <w:rPr>
                <w:rFonts w:hint="eastAsia" w:cs="仿宋_GB2312"/>
                <w:szCs w:val="21"/>
              </w:rPr>
              <w:t>外观质量</w:t>
            </w:r>
          </w:p>
        </w:tc>
        <w:tc>
          <w:tcPr>
            <w:tcW w:w="2464"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cs="仿宋_GB2312"/>
                <w:szCs w:val="21"/>
              </w:rPr>
            </w:pPr>
            <w:r>
              <w:rPr>
                <w:rFonts w:hint="eastAsia"/>
                <w:szCs w:val="21"/>
              </w:rPr>
              <w:t>GB 518-2007条款</w:t>
            </w:r>
            <w:r>
              <w:rPr>
                <w:szCs w:val="21"/>
              </w:rPr>
              <w:t>4.</w:t>
            </w:r>
            <w:r>
              <w:rPr>
                <w:rFonts w:hint="eastAsia"/>
                <w:szCs w:val="21"/>
              </w:rPr>
              <w:t>4.1</w:t>
            </w:r>
          </w:p>
        </w:tc>
        <w:tc>
          <w:tcPr>
            <w:tcW w:w="7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38"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7</w:t>
            </w:r>
          </w:p>
        </w:tc>
        <w:tc>
          <w:tcPr>
            <w:tcW w:w="15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cs="仿宋_GB2312"/>
                <w:szCs w:val="21"/>
              </w:rPr>
            </w:pPr>
            <w:r>
              <w:rPr>
                <w:rFonts w:hint="eastAsia" w:cs="仿宋_GB2312"/>
                <w:szCs w:val="21"/>
              </w:rPr>
              <w:t>标志</w:t>
            </w:r>
          </w:p>
        </w:tc>
        <w:tc>
          <w:tcPr>
            <w:tcW w:w="2464"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cs="仿宋_GB2312"/>
                <w:szCs w:val="21"/>
              </w:rPr>
            </w:pPr>
            <w:r>
              <w:rPr>
                <w:rFonts w:hint="eastAsia"/>
                <w:szCs w:val="21"/>
              </w:rPr>
              <w:t>GB 518-2007条款6</w:t>
            </w:r>
          </w:p>
        </w:tc>
        <w:tc>
          <w:tcPr>
            <w:tcW w:w="7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38"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bookmarkEnd w:id="0"/>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rPr>
      </w:pPr>
      <w:r>
        <w:rPr>
          <w:rFonts w:hint="eastAsia" w:ascii="宋体" w:hAnsi="宋体"/>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rPr>
      </w:pPr>
      <w:r>
        <w:rPr>
          <w:rFonts w:hint="eastAsia" w:ascii="宋体" w:hAnsi="宋体"/>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宋体" w:hAnsi="宋体"/>
          <w:szCs w:val="21"/>
        </w:rPr>
      </w:pP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ascii="黑体" w:hAnsi="黑体" w:eastAsia="黑体"/>
          <w:szCs w:val="21"/>
        </w:rPr>
      </w:pPr>
      <w:r>
        <w:rPr>
          <w:rFonts w:hint="eastAsia" w:ascii="黑体" w:hAnsi="黑体" w:eastAsia="黑体"/>
          <w:szCs w:val="21"/>
          <w:lang w:val="en-US" w:eastAsia="zh-CN"/>
        </w:rPr>
        <w:t>三、</w:t>
      </w:r>
      <w:r>
        <w:rPr>
          <w:rFonts w:hint="eastAsia" w:ascii="黑体" w:hAnsi="黑体" w:eastAsia="黑体"/>
          <w:szCs w:val="21"/>
        </w:rPr>
        <w:t>判定规则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lang w:eastAsia="zh-CN"/>
        </w:rPr>
        <w:t>（</w:t>
      </w:r>
      <w:r>
        <w:rPr>
          <w:rFonts w:hint="eastAsia" w:ascii="宋体" w:hAnsi="宋体"/>
          <w:szCs w:val="21"/>
          <w:lang w:val="en-US" w:eastAsia="zh-CN"/>
        </w:rPr>
        <w:t>一</w:t>
      </w:r>
      <w:r>
        <w:rPr>
          <w:rFonts w:hint="eastAsia" w:ascii="宋体" w:hAnsi="宋体"/>
          <w:szCs w:val="21"/>
          <w:lang w:eastAsia="zh-CN"/>
        </w:rPr>
        <w:t>）</w:t>
      </w:r>
      <w:r>
        <w:rPr>
          <w:rFonts w:hint="eastAsia" w:ascii="宋体" w:hAnsi="宋体"/>
          <w:szCs w:val="21"/>
        </w:rPr>
        <w:t>依据标准</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GB 518-2007《摩托车轮胎》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GB/T 521-2012《轮胎外缘尺寸测量方法》</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GB/T 13203-2014《摩托车轮胎性能试验方法》</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GB/T 2983-2015《摩托车轮胎系列》</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szCs w:val="21"/>
        </w:rPr>
      </w:pPr>
      <w:r>
        <w:rPr>
          <w:rFonts w:hint="eastAsia" w:ascii="宋体" w:hAnsi="宋体"/>
          <w:szCs w:val="21"/>
        </w:rPr>
        <w:t>现行有效的企业标准和产品明示指标或其他相适应的产品标准。</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lang w:eastAsia="zh-CN"/>
        </w:rPr>
        <w:t>（</w:t>
      </w:r>
      <w:r>
        <w:rPr>
          <w:rFonts w:hint="eastAsia" w:ascii="宋体" w:hAnsi="宋体"/>
          <w:szCs w:val="21"/>
          <w:lang w:val="en-US" w:eastAsia="zh-CN"/>
        </w:rPr>
        <w:t>二</w:t>
      </w:r>
      <w:r>
        <w:rPr>
          <w:rFonts w:hint="eastAsia" w:ascii="宋体" w:hAnsi="宋体"/>
          <w:szCs w:val="21"/>
          <w:lang w:eastAsia="zh-CN"/>
        </w:rPr>
        <w:t>）</w:t>
      </w:r>
      <w:r>
        <w:rPr>
          <w:rFonts w:hint="eastAsia" w:ascii="宋体" w:hAnsi="宋体"/>
          <w:szCs w:val="21"/>
        </w:rPr>
        <w:t>判定原则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rPr>
        <w:t>经检验，检验项目全部合格，判定为抽取的样本所检项目未检出不合格；检验项目中任一项或一项以上不合格，判定为被抽查产品不合格。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当被检样品明示的质量要求优于监督抽查实施细则中依据的标准要求时，应按被检样品明示的质量要求判定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当被检样品明示的质量要求劣于或不包含监督抽查实施细则中依据的强制性标准要求时，应按照强制性标准要求判定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当被检样品明示的质量要求劣于或包含监督抽查实施细则中依据的推荐性标准要求时，应以被检样品明示的质量要求判定，如相应检验结果不符合相关推荐性标准要求时，应在检验报告中予以说明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当被检样品明示的质量要求不包含监督抽查实施细则中依据的推荐性标准要求时，该指标不参与判定，但应在检验报告中作出说明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当被检样品未能提供有效的企业标准时，按相关国家或行业标准进行判定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当被检样品标签标识中执行标准信息和产品类别信息不明或有误，影响检测和判定时，可根据相关强制性标准要求，同时结合产品特点等信息判断和选择相关标准进行检验，并应在检验报告中作出相关说明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szCs w:val="21"/>
        </w:rPr>
      </w:pPr>
      <w:r>
        <w:rPr>
          <w:rFonts w:hint="eastAsia" w:ascii="宋体" w:hAnsi="宋体"/>
          <w:szCs w:val="21"/>
        </w:rPr>
        <w:t>按照产品质量相关法律法规的规定判定。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szCs w:val="21"/>
        </w:rPr>
      </w:pPr>
      <w:r>
        <w:rPr>
          <w:rFonts w:hint="eastAsia" w:ascii="宋体" w:hAnsi="宋体"/>
          <w:szCs w:val="21"/>
        </w:rPr>
        <w:t>检验中发现因样品失效或者其他原因致使检验无法进行的，检验人员应如实记录，并提供相关证明材料，报送组织监督抽查的市场监管部门。</w:t>
      </w:r>
    </w:p>
    <w:p>
      <w:pPr>
        <w:snapToGrid w:val="0"/>
        <w:spacing w:line="440" w:lineRule="exact"/>
        <w:rPr>
          <w:rFonts w:ascii="宋体" w:hAnsi="宋体"/>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25AED"/>
    <w:rsid w:val="000271F3"/>
    <w:rsid w:val="00051A44"/>
    <w:rsid w:val="00065282"/>
    <w:rsid w:val="00081CBD"/>
    <w:rsid w:val="000976DE"/>
    <w:rsid w:val="000F238C"/>
    <w:rsid w:val="00172A27"/>
    <w:rsid w:val="001809DD"/>
    <w:rsid w:val="001C73C8"/>
    <w:rsid w:val="001D3F42"/>
    <w:rsid w:val="001E45FA"/>
    <w:rsid w:val="001E6534"/>
    <w:rsid w:val="001F7503"/>
    <w:rsid w:val="00211261"/>
    <w:rsid w:val="00232530"/>
    <w:rsid w:val="0023606F"/>
    <w:rsid w:val="00240BAF"/>
    <w:rsid w:val="002428D5"/>
    <w:rsid w:val="00253624"/>
    <w:rsid w:val="00272E33"/>
    <w:rsid w:val="002C2EDA"/>
    <w:rsid w:val="002D7F8A"/>
    <w:rsid w:val="002E0D1D"/>
    <w:rsid w:val="00307419"/>
    <w:rsid w:val="003203A3"/>
    <w:rsid w:val="00342D61"/>
    <w:rsid w:val="00352295"/>
    <w:rsid w:val="00365CBE"/>
    <w:rsid w:val="00380BC2"/>
    <w:rsid w:val="00382429"/>
    <w:rsid w:val="00382E1F"/>
    <w:rsid w:val="003872D6"/>
    <w:rsid w:val="003A7CDE"/>
    <w:rsid w:val="003A7D30"/>
    <w:rsid w:val="003C388C"/>
    <w:rsid w:val="003E085F"/>
    <w:rsid w:val="003E61BF"/>
    <w:rsid w:val="004104AC"/>
    <w:rsid w:val="00413A85"/>
    <w:rsid w:val="00445E86"/>
    <w:rsid w:val="00474E04"/>
    <w:rsid w:val="004A2D01"/>
    <w:rsid w:val="004A66D5"/>
    <w:rsid w:val="004B00EF"/>
    <w:rsid w:val="004B51FD"/>
    <w:rsid w:val="004D0C5A"/>
    <w:rsid w:val="004E1396"/>
    <w:rsid w:val="004E3259"/>
    <w:rsid w:val="005151C8"/>
    <w:rsid w:val="005245BE"/>
    <w:rsid w:val="005544BD"/>
    <w:rsid w:val="00563EBC"/>
    <w:rsid w:val="0058431B"/>
    <w:rsid w:val="005E3979"/>
    <w:rsid w:val="005F7B92"/>
    <w:rsid w:val="00614D5B"/>
    <w:rsid w:val="00636F6C"/>
    <w:rsid w:val="006B422C"/>
    <w:rsid w:val="006B59D7"/>
    <w:rsid w:val="006E0C7B"/>
    <w:rsid w:val="006E1171"/>
    <w:rsid w:val="006F0971"/>
    <w:rsid w:val="0072334C"/>
    <w:rsid w:val="00725B38"/>
    <w:rsid w:val="00732F56"/>
    <w:rsid w:val="007553CD"/>
    <w:rsid w:val="007607C6"/>
    <w:rsid w:val="00824C73"/>
    <w:rsid w:val="0084371C"/>
    <w:rsid w:val="008873A1"/>
    <w:rsid w:val="008925D0"/>
    <w:rsid w:val="00895BEA"/>
    <w:rsid w:val="00896E41"/>
    <w:rsid w:val="008A3497"/>
    <w:rsid w:val="008A718C"/>
    <w:rsid w:val="008B4316"/>
    <w:rsid w:val="008E1F6F"/>
    <w:rsid w:val="008E40EB"/>
    <w:rsid w:val="00917A54"/>
    <w:rsid w:val="00951ADF"/>
    <w:rsid w:val="00960D38"/>
    <w:rsid w:val="00965904"/>
    <w:rsid w:val="009832B4"/>
    <w:rsid w:val="009B568C"/>
    <w:rsid w:val="009B7EFE"/>
    <w:rsid w:val="009F2545"/>
    <w:rsid w:val="009F5ACE"/>
    <w:rsid w:val="00A43553"/>
    <w:rsid w:val="00AA1AF9"/>
    <w:rsid w:val="00AA298F"/>
    <w:rsid w:val="00AC5391"/>
    <w:rsid w:val="00B333A4"/>
    <w:rsid w:val="00B33B79"/>
    <w:rsid w:val="00B62E7B"/>
    <w:rsid w:val="00B75CFF"/>
    <w:rsid w:val="00B818A8"/>
    <w:rsid w:val="00B92C57"/>
    <w:rsid w:val="00BA5F40"/>
    <w:rsid w:val="00BF2B8C"/>
    <w:rsid w:val="00BF4A64"/>
    <w:rsid w:val="00BF4F8C"/>
    <w:rsid w:val="00BF6BBB"/>
    <w:rsid w:val="00C20DD6"/>
    <w:rsid w:val="00C26074"/>
    <w:rsid w:val="00C315EA"/>
    <w:rsid w:val="00C72ACE"/>
    <w:rsid w:val="00C76BC7"/>
    <w:rsid w:val="00C83B0A"/>
    <w:rsid w:val="00C97F5C"/>
    <w:rsid w:val="00CA0410"/>
    <w:rsid w:val="00CA1ACE"/>
    <w:rsid w:val="00CC3A83"/>
    <w:rsid w:val="00CC72A9"/>
    <w:rsid w:val="00CE1E0C"/>
    <w:rsid w:val="00CE277E"/>
    <w:rsid w:val="00CF442E"/>
    <w:rsid w:val="00D01F0E"/>
    <w:rsid w:val="00D22024"/>
    <w:rsid w:val="00D25F82"/>
    <w:rsid w:val="00D56867"/>
    <w:rsid w:val="00D61476"/>
    <w:rsid w:val="00D8267F"/>
    <w:rsid w:val="00D87B4F"/>
    <w:rsid w:val="00DD2C11"/>
    <w:rsid w:val="00DD5C43"/>
    <w:rsid w:val="00DE2A74"/>
    <w:rsid w:val="00DE5F11"/>
    <w:rsid w:val="00DF7152"/>
    <w:rsid w:val="00DF78EE"/>
    <w:rsid w:val="00E02A7F"/>
    <w:rsid w:val="00E07880"/>
    <w:rsid w:val="00E20721"/>
    <w:rsid w:val="00E31131"/>
    <w:rsid w:val="00E312C7"/>
    <w:rsid w:val="00E37551"/>
    <w:rsid w:val="00E379D2"/>
    <w:rsid w:val="00E70616"/>
    <w:rsid w:val="00E82621"/>
    <w:rsid w:val="00ED5B7A"/>
    <w:rsid w:val="00ED72FD"/>
    <w:rsid w:val="00ED7C29"/>
    <w:rsid w:val="00EF4319"/>
    <w:rsid w:val="00F24F6D"/>
    <w:rsid w:val="00F2603F"/>
    <w:rsid w:val="00F43F54"/>
    <w:rsid w:val="00F50137"/>
    <w:rsid w:val="00F525A6"/>
    <w:rsid w:val="00F56DBA"/>
    <w:rsid w:val="00F64407"/>
    <w:rsid w:val="00F75CDC"/>
    <w:rsid w:val="00F7641A"/>
    <w:rsid w:val="00F77C9A"/>
    <w:rsid w:val="00FB576C"/>
    <w:rsid w:val="00FC3215"/>
    <w:rsid w:val="00FD2AA6"/>
    <w:rsid w:val="00FD66D5"/>
    <w:rsid w:val="00FE7E8A"/>
    <w:rsid w:val="066B5F4D"/>
    <w:rsid w:val="11EA4539"/>
    <w:rsid w:val="34600493"/>
    <w:rsid w:val="55A377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page number"/>
    <w:basedOn w:val="7"/>
    <w:qFormat/>
    <w:uiPriority w:val="0"/>
  </w:style>
  <w:style w:type="character" w:customStyle="1" w:styleId="9">
    <w:name w:val="页脚 Char"/>
    <w:link w:val="3"/>
    <w:qFormat/>
    <w:uiPriority w:val="99"/>
    <w:rPr>
      <w:kern w:val="2"/>
      <w:sz w:val="18"/>
      <w:szCs w:val="18"/>
    </w:rPr>
  </w:style>
  <w:style w:type="character" w:customStyle="1" w:styleId="10">
    <w:name w:val="页眉 Char"/>
    <w:link w:val="4"/>
    <w:semiHidden/>
    <w:qFormat/>
    <w:uiPriority w:val="99"/>
    <w:rPr>
      <w:kern w:val="2"/>
      <w:sz w:val="18"/>
      <w:szCs w:val="18"/>
    </w:rPr>
  </w:style>
  <w:style w:type="paragraph" w:customStyle="1" w:styleId="11">
    <w:name w:val="列出段落1"/>
    <w:basedOn w:val="1"/>
    <w:qFormat/>
    <w:uiPriority w:val="34"/>
    <w:pPr>
      <w:ind w:firstLine="420" w:firstLineChars="200"/>
    </w:pPr>
    <w:rPr>
      <w:rFonts w:ascii="Calibri" w:hAnsi="Calibri"/>
      <w:szCs w:val="22"/>
    </w:rPr>
  </w:style>
  <w:style w:type="character" w:customStyle="1" w:styleId="12">
    <w:name w:val="批注框文本 Char"/>
    <w:link w:val="2"/>
    <w:semiHidden/>
    <w:qFormat/>
    <w:uiPriority w:val="99"/>
    <w:rPr>
      <w:kern w:val="2"/>
      <w:sz w:val="18"/>
      <w:szCs w:val="18"/>
    </w:rPr>
  </w:style>
  <w:style w:type="character" w:customStyle="1" w:styleId="13">
    <w:name w:val="方案正文 Char"/>
    <w:link w:val="14"/>
    <w:qFormat/>
    <w:locked/>
    <w:uiPriority w:val="0"/>
    <w:rPr>
      <w:rFonts w:ascii="仿宋_GB2312" w:hAnsi="宋体" w:eastAsia="仿宋_GB2312"/>
      <w:sz w:val="28"/>
      <w:szCs w:val="28"/>
    </w:rPr>
  </w:style>
  <w:style w:type="paragraph" w:customStyle="1" w:styleId="14">
    <w:name w:val="方案正文"/>
    <w:basedOn w:val="1"/>
    <w:link w:val="13"/>
    <w:qFormat/>
    <w:uiPriority w:val="0"/>
    <w:pPr>
      <w:spacing w:line="360" w:lineRule="auto"/>
      <w:ind w:firstLine="560" w:firstLineChars="200"/>
    </w:pPr>
    <w:rPr>
      <w:rFonts w:ascii="仿宋_GB2312" w:hAnsi="宋体" w:eastAsia="仿宋_GB2312"/>
      <w:kern w:val="0"/>
      <w:sz w:val="28"/>
      <w:szCs w:val="28"/>
    </w:rPr>
  </w:style>
  <w:style w:type="paragraph" w:customStyle="1" w:styleId="15">
    <w:name w:val="Table Paragraph"/>
    <w:basedOn w:val="1"/>
    <w:qFormat/>
    <w:uiPriority w:val="99"/>
    <w:rPr>
      <w:rFonts w:eastAsia="仿宋_GB2312"/>
      <w:sz w:val="32"/>
    </w:rPr>
  </w:style>
  <w:style w:type="table" w:customStyle="1" w:styleId="16">
    <w:name w:val="Table Normal"/>
    <w:unhideWhenUsed/>
    <w:qFormat/>
    <w:uiPriority w:val="2"/>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2</Pages>
  <Words>1047</Words>
  <Characters>243</Characters>
  <Lines>2</Lines>
  <Paragraphs>2</Paragraphs>
  <TotalTime>1</TotalTime>
  <ScaleCrop>false</ScaleCrop>
  <LinksUpToDate>false</LinksUpToDate>
  <CharactersWithSpaces>1288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2020-11-05T03:00:00Z</dcterms:created>
  <dc:creator>Legend User</dc:creator>
  <cp:lastModifiedBy>江门市监局</cp:lastModifiedBy>
  <cp:lastPrinted>2019-12-05T07:53:00Z</cp:lastPrinted>
  <dcterms:modified xsi:type="dcterms:W3CDTF">2021-08-10T10:21:32Z</dcterms:modified>
  <dc:title>××产品质量监督抽查实施细则</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