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江门市电动自行车产品质量监督抽查实施细则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center"/>
        <w:textAlignment w:val="auto"/>
        <w:rPr>
          <w:rFonts w:hint="eastAsia" w:ascii="方正小标宋简体" w:hAnsi="仿宋" w:eastAsia="方正小标宋简体" w:cs="方正仿宋简体"/>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每批次产品抽取样品2辆，其中1辆作为检验样品，1辆作为备用样品。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所抽样车应为装配完整的电动自行车，即配备有为其使用目的所必需的全部部件（含说明书、合格证中明示的所有配件，包括但不限于充电器、电池、脚蹬等）的电动自行车</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并随带该样车的生产合格证、说明书以及CCC证书等。若商家声称出厂时未配充电器或电池，要求商家根据合格证和其他明示规定，配好匹配参数的充电器或电池。</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8"/>
        <w:tblW w:w="829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1923"/>
        <w:gridCol w:w="2017"/>
        <w:gridCol w:w="783"/>
        <w:gridCol w:w="683"/>
        <w:gridCol w:w="867"/>
        <w:gridCol w:w="667"/>
        <w:gridCol w:w="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blHeader/>
          <w:jc w:val="center"/>
        </w:trPr>
        <w:tc>
          <w:tcPr>
            <w:tcW w:w="655" w:type="dxa"/>
            <w:shd w:val="clear" w:color="auto" w:fill="auto"/>
            <w:vAlign w:val="center"/>
          </w:tcPr>
          <w:p>
            <w:pPr>
              <w:adjustRightInd w:val="0"/>
              <w:snapToGrid w:val="0"/>
              <w:jc w:val="center"/>
              <w:rPr>
                <w:szCs w:val="21"/>
              </w:rPr>
            </w:pPr>
            <w:r>
              <w:rPr>
                <w:szCs w:val="21"/>
              </w:rPr>
              <w:t>序号</w:t>
            </w:r>
          </w:p>
        </w:tc>
        <w:tc>
          <w:tcPr>
            <w:tcW w:w="1923" w:type="dxa"/>
            <w:shd w:val="clear" w:color="auto" w:fill="auto"/>
            <w:vAlign w:val="center"/>
          </w:tcPr>
          <w:p>
            <w:pPr>
              <w:adjustRightInd w:val="0"/>
              <w:snapToGrid w:val="0"/>
              <w:jc w:val="center"/>
              <w:rPr>
                <w:szCs w:val="21"/>
              </w:rPr>
            </w:pPr>
            <w:r>
              <w:rPr>
                <w:szCs w:val="21"/>
              </w:rPr>
              <w:t>检验项目</w:t>
            </w:r>
          </w:p>
        </w:tc>
        <w:tc>
          <w:tcPr>
            <w:tcW w:w="2017" w:type="dxa"/>
            <w:shd w:val="clear" w:color="auto" w:fill="auto"/>
            <w:vAlign w:val="center"/>
          </w:tcPr>
          <w:p>
            <w:pPr>
              <w:adjustRightInd w:val="0"/>
              <w:snapToGrid w:val="0"/>
              <w:jc w:val="center"/>
              <w:rPr>
                <w:szCs w:val="21"/>
              </w:rPr>
            </w:pPr>
            <w:r>
              <w:rPr>
                <w:szCs w:val="21"/>
              </w:rPr>
              <w:t>检验方法</w:t>
            </w:r>
          </w:p>
        </w:tc>
        <w:tc>
          <w:tcPr>
            <w:tcW w:w="783" w:type="dxa"/>
            <w:shd w:val="clear" w:color="auto" w:fill="auto"/>
            <w:vAlign w:val="center"/>
          </w:tcPr>
          <w:p>
            <w:pPr>
              <w:adjustRightInd w:val="0"/>
              <w:snapToGrid w:val="0"/>
              <w:jc w:val="center"/>
              <w:rPr>
                <w:szCs w:val="21"/>
              </w:rPr>
            </w:pPr>
            <w:r>
              <w:rPr>
                <w:szCs w:val="21"/>
              </w:rPr>
              <w:t>强制性</w:t>
            </w:r>
          </w:p>
        </w:tc>
        <w:tc>
          <w:tcPr>
            <w:tcW w:w="683" w:type="dxa"/>
            <w:shd w:val="clear" w:color="auto" w:fill="auto"/>
            <w:vAlign w:val="center"/>
          </w:tcPr>
          <w:p>
            <w:pPr>
              <w:adjustRightInd w:val="0"/>
              <w:snapToGrid w:val="0"/>
              <w:jc w:val="center"/>
              <w:rPr>
                <w:szCs w:val="21"/>
              </w:rPr>
            </w:pPr>
            <w:r>
              <w:rPr>
                <w:szCs w:val="21"/>
              </w:rPr>
              <w:t>非强制性</w:t>
            </w:r>
          </w:p>
        </w:tc>
        <w:tc>
          <w:tcPr>
            <w:tcW w:w="867" w:type="dxa"/>
            <w:shd w:val="clear" w:color="auto" w:fill="auto"/>
            <w:vAlign w:val="center"/>
          </w:tcPr>
          <w:p>
            <w:pPr>
              <w:adjustRightInd w:val="0"/>
              <w:snapToGrid w:val="0"/>
              <w:jc w:val="center"/>
              <w:rPr>
                <w:szCs w:val="21"/>
              </w:rPr>
            </w:pPr>
            <w:r>
              <w:rPr>
                <w:szCs w:val="21"/>
              </w:rPr>
              <w:t>重要项</w:t>
            </w:r>
          </w:p>
        </w:tc>
        <w:tc>
          <w:tcPr>
            <w:tcW w:w="667" w:type="dxa"/>
            <w:shd w:val="clear" w:color="auto" w:fill="auto"/>
            <w:vAlign w:val="center"/>
          </w:tcPr>
          <w:p>
            <w:pPr>
              <w:adjustRightInd w:val="0"/>
              <w:snapToGrid w:val="0"/>
              <w:jc w:val="center"/>
              <w:rPr>
                <w:szCs w:val="21"/>
              </w:rPr>
            </w:pPr>
            <w:r>
              <w:rPr>
                <w:szCs w:val="21"/>
              </w:rPr>
              <w:t>较重要项</w:t>
            </w:r>
          </w:p>
        </w:tc>
        <w:tc>
          <w:tcPr>
            <w:tcW w:w="700"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6"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1</w:t>
            </w:r>
          </w:p>
        </w:tc>
        <w:tc>
          <w:tcPr>
            <w:tcW w:w="1923" w:type="dxa"/>
            <w:shd w:val="clear" w:color="auto" w:fill="auto"/>
            <w:vAlign w:val="center"/>
          </w:tcPr>
          <w:p>
            <w:pPr>
              <w:widowControl/>
              <w:snapToGrid w:val="0"/>
              <w:jc w:val="center"/>
              <w:rPr>
                <w:color w:val="000000"/>
                <w:szCs w:val="21"/>
              </w:rPr>
            </w:pPr>
            <w:r>
              <w:rPr>
                <w:rFonts w:hint="eastAsia"/>
                <w:color w:val="000000"/>
                <w:szCs w:val="21"/>
              </w:rPr>
              <w:t>车速限值</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5"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2</w:t>
            </w:r>
          </w:p>
        </w:tc>
        <w:tc>
          <w:tcPr>
            <w:tcW w:w="1923" w:type="dxa"/>
            <w:shd w:val="clear" w:color="auto" w:fill="auto"/>
            <w:vAlign w:val="center"/>
          </w:tcPr>
          <w:p>
            <w:pPr>
              <w:widowControl/>
              <w:snapToGrid w:val="0"/>
              <w:jc w:val="center"/>
              <w:rPr>
                <w:color w:val="000000"/>
                <w:szCs w:val="21"/>
              </w:rPr>
            </w:pPr>
            <w:r>
              <w:rPr>
                <w:rFonts w:hint="eastAsia"/>
                <w:color w:val="000000"/>
                <w:szCs w:val="21"/>
              </w:rPr>
              <w:t>制动性能（干态）</w:t>
            </w:r>
          </w:p>
        </w:tc>
        <w:tc>
          <w:tcPr>
            <w:tcW w:w="2017" w:type="dxa"/>
            <w:shd w:val="clear" w:color="auto" w:fill="auto"/>
            <w:vAlign w:val="center"/>
          </w:tcPr>
          <w:p>
            <w:pPr>
              <w:widowControl/>
              <w:snapToGrid w:val="0"/>
              <w:jc w:val="center"/>
              <w:rPr>
                <w:szCs w:val="21"/>
              </w:rPr>
            </w:pPr>
            <w:r>
              <w:rPr>
                <w:rFonts w:hint="eastAsia"/>
                <w:szCs w:val="21"/>
              </w:rPr>
              <w:t>GB 17761-2018</w:t>
            </w:r>
          </w:p>
          <w:p>
            <w:pPr>
              <w:pStyle w:val="3"/>
              <w:jc w:val="center"/>
              <w:rPr>
                <w:rFonts w:ascii="Times New Roman" w:hAnsi="Times New Roman" w:eastAsia="宋体" w:cs="Times New Roman"/>
              </w:rPr>
            </w:pPr>
            <w:r>
              <w:rPr>
                <w:rFonts w:hint="eastAsia" w:ascii="Times New Roman" w:hAnsi="Times New Roman" w:eastAsia="宋体" w:cs="Times New Roman"/>
              </w:rPr>
              <w:t>GB 3565-2005</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7"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3</w:t>
            </w:r>
          </w:p>
        </w:tc>
        <w:tc>
          <w:tcPr>
            <w:tcW w:w="1923" w:type="dxa"/>
            <w:shd w:val="clear" w:color="auto" w:fill="auto"/>
            <w:vAlign w:val="center"/>
          </w:tcPr>
          <w:p>
            <w:pPr>
              <w:widowControl/>
              <w:snapToGrid w:val="0"/>
              <w:jc w:val="center"/>
              <w:rPr>
                <w:color w:val="000000"/>
                <w:szCs w:val="21"/>
              </w:rPr>
            </w:pPr>
            <w:r>
              <w:rPr>
                <w:rFonts w:hint="eastAsia"/>
                <w:color w:val="000000"/>
                <w:szCs w:val="21"/>
              </w:rPr>
              <w:t>整车质量</w:t>
            </w:r>
          </w:p>
        </w:tc>
        <w:tc>
          <w:tcPr>
            <w:tcW w:w="2017" w:type="dxa"/>
            <w:shd w:val="clear" w:color="auto" w:fill="auto"/>
            <w:vAlign w:val="center"/>
          </w:tcPr>
          <w:p>
            <w:pPr>
              <w:widowControl/>
              <w:snapToGrid w:val="0"/>
              <w:jc w:val="center"/>
              <w:rPr>
                <w:szCs w:val="21"/>
              </w:rPr>
            </w:pPr>
            <w:r>
              <w:rPr>
                <w:rFonts w:hint="eastAsia"/>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3" w:hRule="atLeast"/>
          <w:jc w:val="center"/>
        </w:trPr>
        <w:tc>
          <w:tcPr>
            <w:tcW w:w="655" w:type="dxa"/>
            <w:shd w:val="clear" w:color="auto" w:fill="auto"/>
            <w:vAlign w:val="center"/>
          </w:tcPr>
          <w:p>
            <w:pPr>
              <w:snapToGrid w:val="0"/>
              <w:jc w:val="center"/>
              <w:rPr>
                <w:color w:val="000000"/>
                <w:sz w:val="24"/>
              </w:rPr>
            </w:pPr>
            <w:r>
              <w:rPr>
                <w:rFonts w:hint="eastAsia"/>
                <w:color w:val="000000"/>
                <w:sz w:val="24"/>
              </w:rPr>
              <w:t>4</w:t>
            </w:r>
          </w:p>
        </w:tc>
        <w:tc>
          <w:tcPr>
            <w:tcW w:w="1923" w:type="dxa"/>
            <w:shd w:val="clear" w:color="auto" w:fill="auto"/>
            <w:vAlign w:val="center"/>
          </w:tcPr>
          <w:p>
            <w:pPr>
              <w:snapToGrid w:val="0"/>
              <w:jc w:val="center"/>
              <w:rPr>
                <w:color w:val="000000"/>
                <w:szCs w:val="21"/>
              </w:rPr>
            </w:pPr>
            <w:r>
              <w:rPr>
                <w:rFonts w:hint="eastAsia"/>
                <w:color w:val="000000"/>
                <w:szCs w:val="21"/>
              </w:rPr>
              <w:t>结构</w:t>
            </w:r>
          </w:p>
        </w:tc>
        <w:tc>
          <w:tcPr>
            <w:tcW w:w="2017" w:type="dxa"/>
            <w:shd w:val="clear" w:color="auto" w:fill="auto"/>
            <w:vAlign w:val="center"/>
          </w:tcPr>
          <w:p>
            <w:pPr>
              <w:widowControl/>
              <w:snapToGrid w:val="0"/>
              <w:jc w:val="center"/>
              <w:rPr>
                <w:szCs w:val="21"/>
              </w:rPr>
            </w:pPr>
            <w:r>
              <w:rPr>
                <w:rFonts w:hint="eastAsia"/>
                <w:szCs w:val="21"/>
              </w:rPr>
              <w:t>GB 17761-2018</w:t>
            </w:r>
          </w:p>
          <w:p>
            <w:pPr>
              <w:widowControl/>
              <w:snapToGrid w:val="0"/>
              <w:jc w:val="center"/>
              <w:rPr>
                <w:szCs w:val="21"/>
              </w:rPr>
            </w:pPr>
            <w:r>
              <w:rPr>
                <w:rFonts w:hint="eastAsia"/>
                <w:szCs w:val="21"/>
              </w:rPr>
              <w:t>GB 3565-2005</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5</w:t>
            </w:r>
          </w:p>
        </w:tc>
        <w:tc>
          <w:tcPr>
            <w:tcW w:w="1923" w:type="dxa"/>
            <w:shd w:val="clear" w:color="auto" w:fill="auto"/>
            <w:vAlign w:val="center"/>
          </w:tcPr>
          <w:p>
            <w:pPr>
              <w:snapToGrid w:val="0"/>
              <w:jc w:val="center"/>
              <w:rPr>
                <w:color w:val="000000"/>
                <w:szCs w:val="21"/>
              </w:rPr>
            </w:pPr>
            <w:r>
              <w:rPr>
                <w:rFonts w:hint="eastAsia"/>
                <w:color w:val="000000"/>
                <w:szCs w:val="21"/>
              </w:rPr>
              <w:t>车速提示音</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7"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6</w:t>
            </w:r>
          </w:p>
        </w:tc>
        <w:tc>
          <w:tcPr>
            <w:tcW w:w="1923" w:type="dxa"/>
            <w:shd w:val="clear" w:color="auto" w:fill="auto"/>
            <w:vAlign w:val="center"/>
          </w:tcPr>
          <w:p>
            <w:pPr>
              <w:widowControl/>
              <w:snapToGrid w:val="0"/>
              <w:jc w:val="center"/>
              <w:rPr>
                <w:color w:val="000000"/>
                <w:szCs w:val="21"/>
              </w:rPr>
            </w:pPr>
            <w:r>
              <w:rPr>
                <w:rFonts w:hint="eastAsia"/>
                <w:color w:val="000000"/>
                <w:szCs w:val="21"/>
              </w:rPr>
              <w:t>淋水涉水性能</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4"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7</w:t>
            </w:r>
          </w:p>
        </w:tc>
        <w:tc>
          <w:tcPr>
            <w:tcW w:w="1923" w:type="dxa"/>
            <w:shd w:val="clear" w:color="auto" w:fill="auto"/>
            <w:vAlign w:val="center"/>
          </w:tcPr>
          <w:p>
            <w:pPr>
              <w:pStyle w:val="19"/>
              <w:widowControl/>
              <w:snapToGrid w:val="0"/>
              <w:jc w:val="center"/>
              <w:rPr>
                <w:rFonts w:eastAsia="宋体"/>
                <w:color w:val="000000"/>
                <w:sz w:val="21"/>
                <w:szCs w:val="21"/>
              </w:rPr>
            </w:pPr>
            <w:r>
              <w:rPr>
                <w:rFonts w:hint="eastAsia" w:eastAsia="宋体"/>
                <w:color w:val="000000"/>
                <w:sz w:val="21"/>
                <w:szCs w:val="21"/>
              </w:rPr>
              <w:t>反射器、照明和鸣号装置</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p>
            <w:pPr>
              <w:widowControl/>
              <w:snapToGrid w:val="0"/>
              <w:jc w:val="center"/>
              <w:rPr>
                <w:color w:val="000000"/>
                <w:szCs w:val="21"/>
              </w:rPr>
            </w:pPr>
            <w:r>
              <w:rPr>
                <w:rFonts w:hint="eastAsia"/>
                <w:color w:val="000000"/>
                <w:szCs w:val="21"/>
              </w:rPr>
              <w:t>GB/T 31887.1-2019</w:t>
            </w:r>
          </w:p>
          <w:p>
            <w:pPr>
              <w:widowControl/>
              <w:snapToGrid w:val="0"/>
              <w:jc w:val="center"/>
            </w:pPr>
            <w:r>
              <w:rPr>
                <w:rFonts w:hint="eastAsia"/>
                <w:color w:val="000000"/>
                <w:szCs w:val="21"/>
              </w:rPr>
              <w:t>GB/T 31887.2-2019</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highlight w:val="yellow"/>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highlight w:val="yellow"/>
              </w:rPr>
            </w:pP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8</w:t>
            </w:r>
          </w:p>
        </w:tc>
        <w:tc>
          <w:tcPr>
            <w:tcW w:w="1923" w:type="dxa"/>
            <w:shd w:val="clear" w:color="auto" w:fill="auto"/>
            <w:vAlign w:val="center"/>
          </w:tcPr>
          <w:p>
            <w:pPr>
              <w:widowControl/>
              <w:snapToGrid w:val="0"/>
              <w:jc w:val="center"/>
              <w:rPr>
                <w:color w:val="000000"/>
                <w:szCs w:val="21"/>
              </w:rPr>
            </w:pPr>
            <w:r>
              <w:rPr>
                <w:rFonts w:hint="eastAsia"/>
                <w:color w:val="000000"/>
                <w:szCs w:val="21"/>
              </w:rPr>
              <w:t>电气装置</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9</w:t>
            </w:r>
          </w:p>
        </w:tc>
        <w:tc>
          <w:tcPr>
            <w:tcW w:w="1923" w:type="dxa"/>
            <w:shd w:val="clear" w:color="auto" w:fill="auto"/>
            <w:vAlign w:val="center"/>
          </w:tcPr>
          <w:p>
            <w:pPr>
              <w:widowControl/>
              <w:snapToGrid w:val="0"/>
              <w:jc w:val="center"/>
              <w:rPr>
                <w:color w:val="000000"/>
                <w:szCs w:val="21"/>
              </w:rPr>
            </w:pPr>
            <w:r>
              <w:rPr>
                <w:rFonts w:hint="eastAsia"/>
                <w:color w:val="000000"/>
                <w:szCs w:val="21"/>
              </w:rPr>
              <w:t>充电器与蓄电池</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4" w:hRule="atLeast"/>
          <w:jc w:val="center"/>
        </w:trPr>
        <w:tc>
          <w:tcPr>
            <w:tcW w:w="655" w:type="dxa"/>
            <w:shd w:val="clear" w:color="auto" w:fill="auto"/>
            <w:vAlign w:val="center"/>
          </w:tcPr>
          <w:p>
            <w:pPr>
              <w:widowControl/>
              <w:snapToGrid w:val="0"/>
              <w:jc w:val="center"/>
              <w:rPr>
                <w:color w:val="000000"/>
                <w:sz w:val="24"/>
              </w:rPr>
            </w:pPr>
            <w:r>
              <w:rPr>
                <w:rFonts w:hint="eastAsia"/>
                <w:color w:val="000000"/>
                <w:sz w:val="24"/>
              </w:rPr>
              <w:t>10</w:t>
            </w:r>
          </w:p>
        </w:tc>
        <w:tc>
          <w:tcPr>
            <w:tcW w:w="1923" w:type="dxa"/>
            <w:shd w:val="clear" w:color="auto" w:fill="auto"/>
            <w:vAlign w:val="center"/>
          </w:tcPr>
          <w:p>
            <w:pPr>
              <w:widowControl/>
              <w:snapToGrid w:val="0"/>
              <w:jc w:val="center"/>
              <w:rPr>
                <w:color w:val="000000"/>
                <w:szCs w:val="21"/>
              </w:rPr>
            </w:pPr>
            <w:r>
              <w:rPr>
                <w:rFonts w:hint="eastAsia"/>
                <w:color w:val="000000"/>
                <w:szCs w:val="21"/>
              </w:rPr>
              <w:t>防火性能</w:t>
            </w:r>
          </w:p>
        </w:tc>
        <w:tc>
          <w:tcPr>
            <w:tcW w:w="2017" w:type="dxa"/>
            <w:shd w:val="clear" w:color="auto" w:fill="auto"/>
            <w:vAlign w:val="center"/>
          </w:tcPr>
          <w:p>
            <w:pPr>
              <w:widowControl/>
              <w:snapToGrid w:val="0"/>
              <w:jc w:val="center"/>
              <w:rPr>
                <w:color w:val="000000"/>
                <w:szCs w:val="21"/>
              </w:rPr>
            </w:pPr>
            <w:r>
              <w:rPr>
                <w:rFonts w:hint="eastAsia"/>
                <w:color w:val="000000"/>
                <w:szCs w:val="21"/>
              </w:rPr>
              <w:t>GB 17761-2018</w:t>
            </w:r>
          </w:p>
          <w:p>
            <w:pPr>
              <w:widowControl/>
              <w:snapToGrid w:val="0"/>
              <w:jc w:val="center"/>
              <w:rPr>
                <w:color w:val="000000"/>
                <w:szCs w:val="21"/>
              </w:rPr>
            </w:pPr>
            <w:r>
              <w:rPr>
                <w:rFonts w:hint="eastAsia"/>
                <w:color w:val="000000"/>
                <w:szCs w:val="21"/>
              </w:rPr>
              <w:t>GB/T 5169.11-2017</w:t>
            </w:r>
          </w:p>
        </w:tc>
        <w:tc>
          <w:tcPr>
            <w:tcW w:w="7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683"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highlight w:val="yellow"/>
              </w:rPr>
            </w:pPr>
          </w:p>
        </w:tc>
        <w:tc>
          <w:tcPr>
            <w:tcW w:w="8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highlight w:val="yellow"/>
              </w:rPr>
            </w:pPr>
          </w:p>
        </w:tc>
        <w:tc>
          <w:tcPr>
            <w:tcW w:w="667"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700" w:type="dxa"/>
            <w:shd w:val="clear" w:color="auto" w:fill="auto"/>
            <w:vAlign w:val="center"/>
          </w:tcPr>
          <w:p>
            <w:pPr>
              <w:pStyle w:val="19"/>
              <w:widowControl/>
              <w:snapToGrid w:val="0"/>
              <w:jc w:val="center"/>
              <w:rPr>
                <w:rFonts w:hint="eastAsia" w:asciiTheme="minorEastAsia" w:hAnsiTheme="minorEastAsia" w:eastAsiaTheme="minorEastAsia" w:cstheme="minorEastAsia"/>
                <w:color w:val="000000"/>
                <w:sz w:val="21"/>
                <w:szCs w:val="21"/>
              </w:rPr>
            </w:pP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pPr>
      <w:r>
        <w:rPr>
          <w:rFonts w:hint="eastAsia"/>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szCs w:val="21"/>
        </w:rPr>
      </w:pPr>
      <w:r>
        <w:rPr>
          <w:rFonts w:hint="eastAsia"/>
        </w:rPr>
        <w:t>凡是注日期的文件，其随后所有的修改单（不包括勘误的内容）或修订版不适用于本细则。凡</w:t>
      </w:r>
      <w:r>
        <w:rPr>
          <w:rFonts w:hint="eastAsia" w:ascii="宋体" w:hAnsi="宋体"/>
        </w:rPr>
        <w:t>是不注日期的文件，其最新版本适用于本细则。</w:t>
      </w:r>
    </w:p>
    <w:p>
      <w:pPr>
        <w:keepNext w:val="0"/>
        <w:keepLines w:val="0"/>
        <w:pageBreakBefore w:val="0"/>
        <w:widowControl w:val="0"/>
        <w:kinsoku/>
        <w:wordWrap/>
        <w:overflowPunct/>
        <w:topLinePunct w:val="0"/>
        <w:autoSpaceDE/>
        <w:autoSpaceDN/>
        <w:bidi w:val="0"/>
        <w:adjustRightInd/>
        <w:spacing w:line="440" w:lineRule="exact"/>
        <w:ind w:left="0" w:leftChars="0" w:firstLine="420" w:firstLineChars="200"/>
        <w:textAlignment w:val="auto"/>
        <w:rPr>
          <w:rFonts w:ascii="黑体" w:hAnsi="黑体" w:eastAsia="黑体"/>
          <w:szCs w:val="21"/>
        </w:rPr>
      </w:pPr>
      <w:bookmarkStart w:id="0" w:name="_GoBack"/>
      <w:bookmarkEnd w:id="0"/>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GB 17761-2018《电动自行车安全技术规范》</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AED"/>
    <w:rsid w:val="00051A44"/>
    <w:rsid w:val="00065282"/>
    <w:rsid w:val="00081CBD"/>
    <w:rsid w:val="000976DE"/>
    <w:rsid w:val="000C34C5"/>
    <w:rsid w:val="000F238C"/>
    <w:rsid w:val="0011150D"/>
    <w:rsid w:val="00111E0E"/>
    <w:rsid w:val="00137932"/>
    <w:rsid w:val="00172A27"/>
    <w:rsid w:val="001809DD"/>
    <w:rsid w:val="001B2A0C"/>
    <w:rsid w:val="001C73C8"/>
    <w:rsid w:val="001D3F42"/>
    <w:rsid w:val="001E45FA"/>
    <w:rsid w:val="001E6534"/>
    <w:rsid w:val="001F7503"/>
    <w:rsid w:val="00211261"/>
    <w:rsid w:val="00232530"/>
    <w:rsid w:val="0023606F"/>
    <w:rsid w:val="00240BAF"/>
    <w:rsid w:val="00253624"/>
    <w:rsid w:val="0026493B"/>
    <w:rsid w:val="002C1417"/>
    <w:rsid w:val="002C2EDA"/>
    <w:rsid w:val="002D7F8A"/>
    <w:rsid w:val="002E0D1D"/>
    <w:rsid w:val="00307419"/>
    <w:rsid w:val="003203A3"/>
    <w:rsid w:val="00352295"/>
    <w:rsid w:val="00365CBE"/>
    <w:rsid w:val="00380BC2"/>
    <w:rsid w:val="00382E1F"/>
    <w:rsid w:val="003A7CDE"/>
    <w:rsid w:val="003A7D30"/>
    <w:rsid w:val="003C388C"/>
    <w:rsid w:val="003E61BF"/>
    <w:rsid w:val="004104AC"/>
    <w:rsid w:val="00413A85"/>
    <w:rsid w:val="00445E86"/>
    <w:rsid w:val="00474E04"/>
    <w:rsid w:val="004A2D01"/>
    <w:rsid w:val="004A66D5"/>
    <w:rsid w:val="004B00EF"/>
    <w:rsid w:val="004B51FD"/>
    <w:rsid w:val="004D0C5A"/>
    <w:rsid w:val="004D6939"/>
    <w:rsid w:val="004E1396"/>
    <w:rsid w:val="004E3259"/>
    <w:rsid w:val="005245BE"/>
    <w:rsid w:val="005544BD"/>
    <w:rsid w:val="00563EBC"/>
    <w:rsid w:val="0058431B"/>
    <w:rsid w:val="005F7B92"/>
    <w:rsid w:val="00614D5B"/>
    <w:rsid w:val="00636F6C"/>
    <w:rsid w:val="006B422C"/>
    <w:rsid w:val="006E0C7B"/>
    <w:rsid w:val="006E1171"/>
    <w:rsid w:val="006E70F5"/>
    <w:rsid w:val="006F0971"/>
    <w:rsid w:val="0072334C"/>
    <w:rsid w:val="00725B38"/>
    <w:rsid w:val="00732F56"/>
    <w:rsid w:val="007553CD"/>
    <w:rsid w:val="007607C6"/>
    <w:rsid w:val="007F3566"/>
    <w:rsid w:val="00824C73"/>
    <w:rsid w:val="0084371C"/>
    <w:rsid w:val="008925D0"/>
    <w:rsid w:val="00895BEA"/>
    <w:rsid w:val="008A3497"/>
    <w:rsid w:val="008A718C"/>
    <w:rsid w:val="008B4316"/>
    <w:rsid w:val="008E1F6F"/>
    <w:rsid w:val="008E4DF7"/>
    <w:rsid w:val="009152A5"/>
    <w:rsid w:val="00917A54"/>
    <w:rsid w:val="00960D38"/>
    <w:rsid w:val="00965904"/>
    <w:rsid w:val="009B568C"/>
    <w:rsid w:val="009B7EFE"/>
    <w:rsid w:val="009F2545"/>
    <w:rsid w:val="009F5ACE"/>
    <w:rsid w:val="00A43553"/>
    <w:rsid w:val="00A43BB0"/>
    <w:rsid w:val="00A62E40"/>
    <w:rsid w:val="00AA1AF9"/>
    <w:rsid w:val="00AA298F"/>
    <w:rsid w:val="00AA5697"/>
    <w:rsid w:val="00AC5391"/>
    <w:rsid w:val="00B333A4"/>
    <w:rsid w:val="00B62E7B"/>
    <w:rsid w:val="00B75CFF"/>
    <w:rsid w:val="00B924F1"/>
    <w:rsid w:val="00B92C57"/>
    <w:rsid w:val="00BA0C23"/>
    <w:rsid w:val="00BA5F40"/>
    <w:rsid w:val="00BD29FC"/>
    <w:rsid w:val="00BF2B8C"/>
    <w:rsid w:val="00BF4A64"/>
    <w:rsid w:val="00BF4F8C"/>
    <w:rsid w:val="00C20DD6"/>
    <w:rsid w:val="00C26074"/>
    <w:rsid w:val="00C315EA"/>
    <w:rsid w:val="00C72ACE"/>
    <w:rsid w:val="00C76BC7"/>
    <w:rsid w:val="00C83B0A"/>
    <w:rsid w:val="00C97F5C"/>
    <w:rsid w:val="00CA0410"/>
    <w:rsid w:val="00CA1ACE"/>
    <w:rsid w:val="00CC3A83"/>
    <w:rsid w:val="00CC72A9"/>
    <w:rsid w:val="00CE1E0C"/>
    <w:rsid w:val="00CE277E"/>
    <w:rsid w:val="00CF442E"/>
    <w:rsid w:val="00D01F0E"/>
    <w:rsid w:val="00D22024"/>
    <w:rsid w:val="00D56867"/>
    <w:rsid w:val="00D61476"/>
    <w:rsid w:val="00D8267F"/>
    <w:rsid w:val="00D87B4F"/>
    <w:rsid w:val="00DD2C11"/>
    <w:rsid w:val="00DD5C43"/>
    <w:rsid w:val="00DE2A74"/>
    <w:rsid w:val="00DE5F11"/>
    <w:rsid w:val="00E02A7F"/>
    <w:rsid w:val="00E07880"/>
    <w:rsid w:val="00E31131"/>
    <w:rsid w:val="00E312C7"/>
    <w:rsid w:val="00E379D2"/>
    <w:rsid w:val="00E82621"/>
    <w:rsid w:val="00ED5B7A"/>
    <w:rsid w:val="00ED72FD"/>
    <w:rsid w:val="00EF4319"/>
    <w:rsid w:val="00F24F6D"/>
    <w:rsid w:val="00F2603F"/>
    <w:rsid w:val="00F43F54"/>
    <w:rsid w:val="00F50137"/>
    <w:rsid w:val="00F525A6"/>
    <w:rsid w:val="00F56DBA"/>
    <w:rsid w:val="00F64407"/>
    <w:rsid w:val="00F75CDC"/>
    <w:rsid w:val="00F7641A"/>
    <w:rsid w:val="00F77C9A"/>
    <w:rsid w:val="00F844A7"/>
    <w:rsid w:val="00FB576C"/>
    <w:rsid w:val="00FC3215"/>
    <w:rsid w:val="00FD2AA6"/>
    <w:rsid w:val="00FD35CA"/>
    <w:rsid w:val="00FD66D5"/>
    <w:rsid w:val="00FE7E8A"/>
    <w:rsid w:val="00FF20C9"/>
    <w:rsid w:val="2E007174"/>
    <w:rsid w:val="38A66959"/>
    <w:rsid w:val="3AAD1D7E"/>
    <w:rsid w:val="3EF048E0"/>
    <w:rsid w:val="5FE06A1F"/>
    <w:rsid w:val="73B32C3B"/>
    <w:rsid w:val="7645581A"/>
    <w:rsid w:val="795E6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Plain Text"/>
    <w:basedOn w:val="1"/>
    <w:qFormat/>
    <w:uiPriority w:val="0"/>
    <w:rPr>
      <w:rFonts w:ascii="宋体" w:hAnsi="Courier New" w:eastAsia="仿宋_GB2312" w:cs="宋体"/>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2"/>
    <w:semiHidden/>
    <w:unhideWhenUsed/>
    <w:qFormat/>
    <w:uiPriority w:val="99"/>
    <w:rPr>
      <w:b/>
      <w:bCs/>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page number"/>
    <w:basedOn w:val="10"/>
    <w:qFormat/>
    <w:uiPriority w:val="0"/>
  </w:style>
  <w:style w:type="character" w:styleId="12">
    <w:name w:val="annotation reference"/>
    <w:basedOn w:val="10"/>
    <w:semiHidden/>
    <w:unhideWhenUsed/>
    <w:qFormat/>
    <w:uiPriority w:val="99"/>
    <w:rPr>
      <w:sz w:val="21"/>
      <w:szCs w:val="21"/>
    </w:rPr>
  </w:style>
  <w:style w:type="character" w:customStyle="1" w:styleId="13">
    <w:name w:val="页脚 Char"/>
    <w:link w:val="5"/>
    <w:qFormat/>
    <w:uiPriority w:val="99"/>
    <w:rPr>
      <w:kern w:val="2"/>
      <w:sz w:val="18"/>
      <w:szCs w:val="18"/>
    </w:rPr>
  </w:style>
  <w:style w:type="character" w:customStyle="1" w:styleId="14">
    <w:name w:val="页眉 Char"/>
    <w:link w:val="6"/>
    <w:semiHidden/>
    <w:qFormat/>
    <w:uiPriority w:val="99"/>
    <w:rPr>
      <w:kern w:val="2"/>
      <w:sz w:val="18"/>
      <w:szCs w:val="18"/>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批注框文本 Char"/>
    <w:link w:val="4"/>
    <w:semiHidden/>
    <w:qFormat/>
    <w:uiPriority w:val="99"/>
    <w:rPr>
      <w:kern w:val="2"/>
      <w:sz w:val="18"/>
      <w:szCs w:val="18"/>
    </w:rPr>
  </w:style>
  <w:style w:type="character" w:customStyle="1" w:styleId="17">
    <w:name w:val="方案正文 Char"/>
    <w:link w:val="18"/>
    <w:qFormat/>
    <w:locked/>
    <w:uiPriority w:val="0"/>
    <w:rPr>
      <w:rFonts w:ascii="仿宋_GB2312" w:hAnsi="宋体" w:eastAsia="仿宋_GB2312"/>
      <w:sz w:val="28"/>
      <w:szCs w:val="28"/>
    </w:rPr>
  </w:style>
  <w:style w:type="paragraph" w:customStyle="1" w:styleId="18">
    <w:name w:val="方案正文"/>
    <w:basedOn w:val="1"/>
    <w:link w:val="17"/>
    <w:qFormat/>
    <w:uiPriority w:val="0"/>
    <w:pPr>
      <w:spacing w:line="360" w:lineRule="auto"/>
      <w:ind w:firstLine="560" w:firstLineChars="200"/>
    </w:pPr>
    <w:rPr>
      <w:rFonts w:ascii="仿宋_GB2312" w:hAnsi="宋体" w:eastAsia="仿宋_GB2312"/>
      <w:kern w:val="0"/>
      <w:sz w:val="28"/>
      <w:szCs w:val="28"/>
    </w:rPr>
  </w:style>
  <w:style w:type="paragraph" w:customStyle="1" w:styleId="19">
    <w:name w:val="Table Paragraph"/>
    <w:basedOn w:val="1"/>
    <w:qFormat/>
    <w:uiPriority w:val="99"/>
    <w:rPr>
      <w:rFonts w:eastAsia="仿宋_GB2312"/>
      <w:sz w:val="32"/>
    </w:rPr>
  </w:style>
  <w:style w:type="table" w:customStyle="1" w:styleId="20">
    <w:name w:val="Table Normal"/>
    <w:unhideWhenUsed/>
    <w:qFormat/>
    <w:uiPriority w:val="2"/>
    <w:tblPr>
      <w:tblLayout w:type="fixed"/>
      <w:tblCellMar>
        <w:top w:w="0" w:type="dxa"/>
        <w:left w:w="0" w:type="dxa"/>
        <w:bottom w:w="0" w:type="dxa"/>
        <w:right w:w="0" w:type="dxa"/>
      </w:tblCellMar>
    </w:tblPr>
  </w:style>
  <w:style w:type="character" w:customStyle="1" w:styleId="21">
    <w:name w:val="批注文字 Char"/>
    <w:basedOn w:val="10"/>
    <w:link w:val="2"/>
    <w:semiHidden/>
    <w:qFormat/>
    <w:uiPriority w:val="99"/>
    <w:rPr>
      <w:kern w:val="2"/>
      <w:sz w:val="21"/>
      <w:szCs w:val="24"/>
    </w:rPr>
  </w:style>
  <w:style w:type="character" w:customStyle="1" w:styleId="22">
    <w:name w:val="批注主题 Char"/>
    <w:basedOn w:val="21"/>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1125</Words>
  <Characters>450</Characters>
  <Lines>3</Lines>
  <Paragraphs>3</Paragraphs>
  <TotalTime>1</TotalTime>
  <ScaleCrop>false</ScaleCrop>
  <LinksUpToDate>false</LinksUpToDate>
  <CharactersWithSpaces>1572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2021-08-10T10:55:15Z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