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江门市摩托车发动机产品质量监督抽查实施细则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szCs w:val="21"/>
        </w:rPr>
      </w:pPr>
      <w:r>
        <w:rPr>
          <w:rFonts w:hint="eastAsia"/>
          <w:szCs w:val="21"/>
        </w:rPr>
        <w:t>每批次产品抽取摩托车发动机样品2台，其中1台作为检验样品，1台作为备用样品，每台摩托车发动机样品应配备空气滤清器、喷油器及其安装附件、ECU、燃油箱及其安装附件、摩托车电缆总成、点火器、点火线圈、排汽消声器及其安装附件、起动杆、变档杆、二次补气阀、整流器，发动机机油等相关附件各1套，同时提交经备案的产品企业标准和产品定型试验报告（包括扩展的基本车型的定型试验报告）。</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7"/>
        <w:tblW w:w="8316"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5"/>
        <w:gridCol w:w="1509"/>
        <w:gridCol w:w="2481"/>
        <w:gridCol w:w="716"/>
        <w:gridCol w:w="800"/>
        <w:gridCol w:w="684"/>
        <w:gridCol w:w="733"/>
        <w:gridCol w:w="7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7" w:hRule="atLeast"/>
          <w:tblHeader/>
          <w:jc w:val="center"/>
        </w:trPr>
        <w:tc>
          <w:tcPr>
            <w:tcW w:w="655" w:type="dxa"/>
            <w:shd w:val="clear" w:color="auto" w:fill="auto"/>
            <w:vAlign w:val="center"/>
          </w:tcPr>
          <w:p>
            <w:pPr>
              <w:adjustRightInd w:val="0"/>
              <w:snapToGrid w:val="0"/>
              <w:jc w:val="center"/>
              <w:rPr>
                <w:szCs w:val="21"/>
              </w:rPr>
            </w:pPr>
            <w:bookmarkStart w:id="0" w:name="_GoBack"/>
            <w:r>
              <w:rPr>
                <w:szCs w:val="21"/>
              </w:rPr>
              <w:t>序号</w:t>
            </w:r>
          </w:p>
        </w:tc>
        <w:tc>
          <w:tcPr>
            <w:tcW w:w="1509" w:type="dxa"/>
            <w:shd w:val="clear" w:color="auto" w:fill="auto"/>
            <w:vAlign w:val="center"/>
          </w:tcPr>
          <w:p>
            <w:pPr>
              <w:adjustRightInd w:val="0"/>
              <w:snapToGrid w:val="0"/>
              <w:jc w:val="center"/>
              <w:rPr>
                <w:szCs w:val="21"/>
              </w:rPr>
            </w:pPr>
            <w:r>
              <w:rPr>
                <w:szCs w:val="21"/>
              </w:rPr>
              <w:t>检验项目</w:t>
            </w:r>
          </w:p>
        </w:tc>
        <w:tc>
          <w:tcPr>
            <w:tcW w:w="2481" w:type="dxa"/>
            <w:shd w:val="clear" w:color="auto" w:fill="auto"/>
            <w:vAlign w:val="center"/>
          </w:tcPr>
          <w:p>
            <w:pPr>
              <w:adjustRightInd w:val="0"/>
              <w:snapToGrid w:val="0"/>
              <w:jc w:val="center"/>
              <w:rPr>
                <w:szCs w:val="21"/>
              </w:rPr>
            </w:pPr>
            <w:r>
              <w:rPr>
                <w:szCs w:val="21"/>
              </w:rPr>
              <w:t>检验方法</w:t>
            </w:r>
          </w:p>
        </w:tc>
        <w:tc>
          <w:tcPr>
            <w:tcW w:w="716" w:type="dxa"/>
            <w:shd w:val="clear" w:color="auto" w:fill="auto"/>
            <w:vAlign w:val="center"/>
          </w:tcPr>
          <w:p>
            <w:pPr>
              <w:adjustRightInd w:val="0"/>
              <w:snapToGrid w:val="0"/>
              <w:jc w:val="center"/>
              <w:rPr>
                <w:szCs w:val="21"/>
              </w:rPr>
            </w:pPr>
            <w:r>
              <w:rPr>
                <w:szCs w:val="21"/>
              </w:rPr>
              <w:t>强制性</w:t>
            </w:r>
          </w:p>
        </w:tc>
        <w:tc>
          <w:tcPr>
            <w:tcW w:w="800"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684" w:type="dxa"/>
            <w:shd w:val="clear" w:color="auto" w:fill="auto"/>
            <w:vAlign w:val="center"/>
          </w:tcPr>
          <w:p>
            <w:pPr>
              <w:adjustRightInd w:val="0"/>
              <w:snapToGrid w:val="0"/>
              <w:jc w:val="center"/>
              <w:rPr>
                <w:szCs w:val="21"/>
              </w:rPr>
            </w:pPr>
            <w:r>
              <w:rPr>
                <w:szCs w:val="21"/>
              </w:rPr>
              <w:t>重要项</w:t>
            </w:r>
          </w:p>
        </w:tc>
        <w:tc>
          <w:tcPr>
            <w:tcW w:w="733"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738"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1</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标记</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szCs w:val="21"/>
              </w:rPr>
              <w:t>GB</w:t>
            </w:r>
            <w:r>
              <w:rPr>
                <w:rFonts w:hint="eastAsia"/>
                <w:szCs w:val="21"/>
              </w:rPr>
              <w:t xml:space="preserve"> </w:t>
            </w:r>
            <w:r>
              <w:rPr>
                <w:szCs w:val="21"/>
              </w:rPr>
              <w:t>7258-</w:t>
            </w:r>
            <w:r>
              <w:rPr>
                <w:rFonts w:hint="eastAsia"/>
                <w:szCs w:val="21"/>
              </w:rPr>
              <w:t>2017中</w:t>
            </w:r>
            <w:r>
              <w:rPr>
                <w:szCs w:val="21"/>
              </w:rPr>
              <w:t>4.1.4</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8"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2</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外观质量</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QC/T 224-2016中4.2</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3</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运行质量</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QC/T 224-2016中4.4</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4</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起动性能（常温、热机）</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QC/T 224-2016中4.3，</w:t>
            </w:r>
            <w:r>
              <w:rPr>
                <w:szCs w:val="21"/>
              </w:rPr>
              <w:t>GB/T</w:t>
            </w:r>
            <w:r>
              <w:rPr>
                <w:rFonts w:hint="eastAsia"/>
                <w:szCs w:val="21"/>
              </w:rPr>
              <w:t xml:space="preserve"> </w:t>
            </w:r>
            <w:r>
              <w:rPr>
                <w:szCs w:val="21"/>
              </w:rPr>
              <w:t>5363-</w:t>
            </w:r>
            <w:r>
              <w:rPr>
                <w:rFonts w:hint="eastAsia"/>
                <w:szCs w:val="21"/>
              </w:rPr>
              <w:t>2008</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5</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怠速性能</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QC/T 224-2016中4.5，</w:t>
            </w:r>
            <w:r>
              <w:rPr>
                <w:szCs w:val="21"/>
              </w:rPr>
              <w:t>GB/T</w:t>
            </w:r>
            <w:r>
              <w:rPr>
                <w:rFonts w:hint="eastAsia"/>
                <w:szCs w:val="21"/>
              </w:rPr>
              <w:t xml:space="preserve"> </w:t>
            </w:r>
            <w:r>
              <w:rPr>
                <w:szCs w:val="21"/>
              </w:rPr>
              <w:t>5363-</w:t>
            </w:r>
            <w:r>
              <w:rPr>
                <w:rFonts w:hint="eastAsia"/>
                <w:szCs w:val="21"/>
              </w:rPr>
              <w:t>2008</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6</w:t>
            </w:r>
          </w:p>
        </w:tc>
        <w:tc>
          <w:tcPr>
            <w:tcW w:w="1509" w:type="dxa"/>
            <w:shd w:val="clear" w:color="auto" w:fill="auto"/>
            <w:vAlign w:val="center"/>
          </w:tcPr>
          <w:p>
            <w:pPr>
              <w:pStyle w:val="2"/>
              <w:keepNext w:val="0"/>
              <w:keepLines w:val="0"/>
              <w:pageBreakBefore w:val="0"/>
              <w:widowControl w:val="0"/>
              <w:kinsoku/>
              <w:wordWrap/>
              <w:overflowPunct/>
              <w:topLinePunct w:val="0"/>
              <w:autoSpaceDE/>
              <w:autoSpaceDN/>
              <w:bidi w:val="0"/>
              <w:spacing w:line="240" w:lineRule="auto"/>
              <w:jc w:val="center"/>
              <w:textAlignment w:val="auto"/>
            </w:pPr>
            <w:r>
              <w:rPr>
                <w:rFonts w:hint="eastAsia"/>
                <w:kern w:val="0"/>
                <w:szCs w:val="21"/>
              </w:rPr>
              <w:t>排气污染物排放</w:t>
            </w:r>
            <w:r>
              <w:rPr>
                <w:kern w:val="0"/>
                <w:szCs w:val="21"/>
              </w:rPr>
              <w:t xml:space="preserve"> (</w:t>
            </w:r>
            <w:r>
              <w:rPr>
                <w:rFonts w:hint="eastAsia"/>
                <w:kern w:val="0"/>
                <w:szCs w:val="21"/>
              </w:rPr>
              <w:t>双怠速法</w:t>
            </w:r>
            <w:r>
              <w:rPr>
                <w:kern w:val="0"/>
                <w:szCs w:val="21"/>
              </w:rPr>
              <w:t>)</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szCs w:val="21"/>
              </w:rPr>
              <w:t>GB</w:t>
            </w:r>
            <w:r>
              <w:rPr>
                <w:rFonts w:hint="eastAsia"/>
                <w:szCs w:val="21"/>
              </w:rPr>
              <w:t xml:space="preserve"> </w:t>
            </w:r>
            <w:r>
              <w:rPr>
                <w:szCs w:val="21"/>
              </w:rPr>
              <w:t>1462</w:t>
            </w:r>
            <w:r>
              <w:rPr>
                <w:rFonts w:hint="eastAsia"/>
                <w:szCs w:val="21"/>
              </w:rPr>
              <w:t>2</w:t>
            </w:r>
            <w:r>
              <w:rPr>
                <w:szCs w:val="21"/>
              </w:rPr>
              <w:t>-20</w:t>
            </w:r>
            <w:r>
              <w:rPr>
                <w:rFonts w:hint="eastAsia"/>
                <w:szCs w:val="21"/>
              </w:rPr>
              <w:t>16中附录D</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7</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最低燃油消耗率</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QC/T 224-2016中4.9，</w:t>
            </w:r>
            <w:r>
              <w:rPr>
                <w:szCs w:val="21"/>
              </w:rPr>
              <w:t>GB/T</w:t>
            </w:r>
            <w:r>
              <w:rPr>
                <w:rFonts w:hint="eastAsia"/>
                <w:szCs w:val="21"/>
              </w:rPr>
              <w:t xml:space="preserve"> </w:t>
            </w:r>
            <w:r>
              <w:rPr>
                <w:szCs w:val="21"/>
              </w:rPr>
              <w:t>5363-</w:t>
            </w:r>
            <w:r>
              <w:rPr>
                <w:rFonts w:hint="eastAsia"/>
                <w:szCs w:val="21"/>
              </w:rPr>
              <w:t>2008</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0"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8</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最大净功率</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GB/T 20076-2006中6.2，</w:t>
            </w:r>
            <w:r>
              <w:rPr>
                <w:szCs w:val="21"/>
              </w:rPr>
              <w:t>GB/T</w:t>
            </w:r>
            <w:r>
              <w:rPr>
                <w:rFonts w:hint="eastAsia"/>
                <w:szCs w:val="21"/>
              </w:rPr>
              <w:t xml:space="preserve"> </w:t>
            </w:r>
            <w:r>
              <w:rPr>
                <w:szCs w:val="21"/>
              </w:rPr>
              <w:t>5363-</w:t>
            </w:r>
            <w:r>
              <w:rPr>
                <w:rFonts w:hint="eastAsia"/>
                <w:szCs w:val="21"/>
              </w:rPr>
              <w:t>2008</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7"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9</w:t>
            </w:r>
          </w:p>
        </w:tc>
        <w:tc>
          <w:tcPr>
            <w:tcW w:w="15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cs="仿宋_GB2312"/>
                <w:szCs w:val="21"/>
              </w:rPr>
            </w:pPr>
            <w:r>
              <w:rPr>
                <w:rFonts w:hint="eastAsia" w:cs="仿宋_GB2312"/>
                <w:szCs w:val="21"/>
              </w:rPr>
              <w:t>最大扭矩</w:t>
            </w:r>
          </w:p>
        </w:tc>
        <w:tc>
          <w:tcPr>
            <w:tcW w:w="2481"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cs="仿宋_GB2312"/>
                <w:szCs w:val="21"/>
              </w:rPr>
            </w:pPr>
            <w:r>
              <w:rPr>
                <w:rFonts w:hint="eastAsia"/>
                <w:szCs w:val="21"/>
              </w:rPr>
              <w:t>GB/T 20076-2006中6.2，</w:t>
            </w:r>
            <w:r>
              <w:rPr>
                <w:szCs w:val="21"/>
              </w:rPr>
              <w:t>GB/T</w:t>
            </w:r>
            <w:r>
              <w:rPr>
                <w:rFonts w:hint="eastAsia"/>
                <w:szCs w:val="21"/>
              </w:rPr>
              <w:t xml:space="preserve"> </w:t>
            </w:r>
            <w:r>
              <w:rPr>
                <w:szCs w:val="21"/>
              </w:rPr>
              <w:t>5363-</w:t>
            </w:r>
            <w:r>
              <w:rPr>
                <w:rFonts w:hint="eastAsia"/>
                <w:szCs w:val="21"/>
              </w:rPr>
              <w:t>2008</w:t>
            </w:r>
          </w:p>
        </w:tc>
        <w:tc>
          <w:tcPr>
            <w:tcW w:w="7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33"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38"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bookmarkEnd w:id="0"/>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keepNext w:val="0"/>
        <w:keepLines w:val="0"/>
        <w:pageBreakBefore w:val="0"/>
        <w:kinsoku/>
        <w:wordWrap/>
        <w:overflowPunct/>
        <w:topLinePunct w:val="0"/>
        <w:autoSpaceDE/>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kinsoku/>
        <w:wordWrap/>
        <w:overflowPunct/>
        <w:topLinePunct w:val="0"/>
        <w:autoSpaceDE/>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 7258-2017《摩托车和轻便摩托车安全技术条件》</w:t>
      </w:r>
      <w:r>
        <w:rPr>
          <w:rFonts w:hint="eastAsia" w:ascii="宋体" w:hAnsi="宋体"/>
          <w:szCs w:val="21"/>
          <w:lang w:eastAsia="zh-CN"/>
        </w:rPr>
        <w:t>；</w:t>
      </w:r>
    </w:p>
    <w:p>
      <w:pPr>
        <w:keepNext w:val="0"/>
        <w:keepLines w:val="0"/>
        <w:pageBreakBefore w:val="0"/>
        <w:kinsoku/>
        <w:wordWrap/>
        <w:overflowPunct/>
        <w:topLinePunct w:val="0"/>
        <w:autoSpaceDE/>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 14622-2016《摩托车污染物排放限值及测量方法（中国第四阶段）》</w:t>
      </w:r>
      <w:r>
        <w:rPr>
          <w:rFonts w:hint="eastAsia" w:ascii="宋体" w:hAnsi="宋体"/>
          <w:szCs w:val="21"/>
          <w:lang w:eastAsia="zh-CN"/>
        </w:rPr>
        <w:t>；</w:t>
      </w:r>
    </w:p>
    <w:p>
      <w:pPr>
        <w:keepNext w:val="0"/>
        <w:keepLines w:val="0"/>
        <w:pageBreakBefore w:val="0"/>
        <w:kinsoku/>
        <w:wordWrap/>
        <w:overflowPunct/>
        <w:topLinePunct w:val="0"/>
        <w:autoSpaceDE/>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QC/T 224-2016《摩托车和轻便摩托车发动机通用技术条件》</w:t>
      </w:r>
      <w:r>
        <w:rPr>
          <w:rFonts w:hint="eastAsia" w:ascii="宋体" w:hAnsi="宋体"/>
          <w:szCs w:val="21"/>
          <w:lang w:eastAsia="zh-CN"/>
        </w:rPr>
        <w:t>；</w:t>
      </w:r>
    </w:p>
    <w:p>
      <w:pPr>
        <w:keepNext w:val="0"/>
        <w:keepLines w:val="0"/>
        <w:pageBreakBefore w:val="0"/>
        <w:widowControl/>
        <w:kinsoku/>
        <w:wordWrap/>
        <w:overflowPunct/>
        <w:topLinePunct w:val="0"/>
        <w:autoSpaceDE/>
        <w:autoSpaceDN w:val="0"/>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20076-2006《摩托车和轻便摩托车发动机最大扭矩和最大净功率测量方法》</w:t>
      </w:r>
      <w:r>
        <w:rPr>
          <w:rFonts w:hint="eastAsia" w:ascii="宋体" w:hAnsi="宋体"/>
          <w:szCs w:val="21"/>
          <w:lang w:eastAsia="zh-CN"/>
        </w:rPr>
        <w:t>；</w:t>
      </w:r>
    </w:p>
    <w:p>
      <w:pPr>
        <w:keepNext w:val="0"/>
        <w:keepLines w:val="0"/>
        <w:pageBreakBefore w:val="0"/>
        <w:widowControl/>
        <w:kinsoku/>
        <w:wordWrap/>
        <w:overflowPunct/>
        <w:topLinePunct w:val="0"/>
        <w:autoSpaceDE/>
        <w:autoSpaceDN w:val="0"/>
        <w:bidi w:val="0"/>
        <w:adjustRightInd/>
        <w:spacing w:line="440" w:lineRule="exact"/>
        <w:ind w:firstLine="420" w:firstLineChars="200"/>
        <w:textAlignment w:val="auto"/>
        <w:rPr>
          <w:rFonts w:hint="eastAsia" w:ascii="宋体" w:hAnsi="宋体" w:eastAsia="宋体"/>
          <w:szCs w:val="21"/>
          <w:lang w:eastAsia="zh-CN"/>
        </w:rPr>
      </w:pPr>
      <w:r>
        <w:rPr>
          <w:rFonts w:ascii="宋体" w:hAnsi="宋体"/>
          <w:szCs w:val="21"/>
        </w:rPr>
        <w:t>GB/T 5363-2008</w:t>
      </w:r>
      <w:r>
        <w:rPr>
          <w:rFonts w:hint="eastAsia" w:ascii="宋体" w:hAnsi="宋体"/>
          <w:szCs w:val="21"/>
        </w:rPr>
        <w:t>《发动机台架试验方法》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kinsoku/>
        <w:wordWrap/>
        <w:overflowPunct/>
        <w:topLinePunct w:val="0"/>
        <w:autoSpaceDE/>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5AED"/>
    <w:rsid w:val="000271F3"/>
    <w:rsid w:val="00051A44"/>
    <w:rsid w:val="00065282"/>
    <w:rsid w:val="00081CBD"/>
    <w:rsid w:val="000976DE"/>
    <w:rsid w:val="000F238C"/>
    <w:rsid w:val="00172A27"/>
    <w:rsid w:val="00176326"/>
    <w:rsid w:val="001809DD"/>
    <w:rsid w:val="001C73C8"/>
    <w:rsid w:val="001D3F42"/>
    <w:rsid w:val="001E45FA"/>
    <w:rsid w:val="001E6534"/>
    <w:rsid w:val="001F65D1"/>
    <w:rsid w:val="001F7503"/>
    <w:rsid w:val="00211261"/>
    <w:rsid w:val="00232530"/>
    <w:rsid w:val="0023606F"/>
    <w:rsid w:val="00240BAF"/>
    <w:rsid w:val="0024443F"/>
    <w:rsid w:val="00253624"/>
    <w:rsid w:val="00282BB6"/>
    <w:rsid w:val="002B2919"/>
    <w:rsid w:val="002C2EDA"/>
    <w:rsid w:val="002D7F8A"/>
    <w:rsid w:val="002E0D1D"/>
    <w:rsid w:val="002F1F6F"/>
    <w:rsid w:val="00307419"/>
    <w:rsid w:val="003203A3"/>
    <w:rsid w:val="00352295"/>
    <w:rsid w:val="00365CBE"/>
    <w:rsid w:val="00380BC2"/>
    <w:rsid w:val="00382E1F"/>
    <w:rsid w:val="003872D6"/>
    <w:rsid w:val="003A7CDE"/>
    <w:rsid w:val="003A7D30"/>
    <w:rsid w:val="003C388C"/>
    <w:rsid w:val="003E61BF"/>
    <w:rsid w:val="004104AC"/>
    <w:rsid w:val="00413A85"/>
    <w:rsid w:val="00445E86"/>
    <w:rsid w:val="0045003C"/>
    <w:rsid w:val="00474E04"/>
    <w:rsid w:val="0048125E"/>
    <w:rsid w:val="004A2D01"/>
    <w:rsid w:val="004A66D5"/>
    <w:rsid w:val="004B00EF"/>
    <w:rsid w:val="004B51FD"/>
    <w:rsid w:val="004D0C5A"/>
    <w:rsid w:val="004E1396"/>
    <w:rsid w:val="004E3259"/>
    <w:rsid w:val="004F3E0C"/>
    <w:rsid w:val="005151C8"/>
    <w:rsid w:val="005245BE"/>
    <w:rsid w:val="005544BD"/>
    <w:rsid w:val="00563EBC"/>
    <w:rsid w:val="0058431B"/>
    <w:rsid w:val="005F7B92"/>
    <w:rsid w:val="00614D5B"/>
    <w:rsid w:val="00636F6C"/>
    <w:rsid w:val="00692CFA"/>
    <w:rsid w:val="006B422C"/>
    <w:rsid w:val="006B59D7"/>
    <w:rsid w:val="006E0C7B"/>
    <w:rsid w:val="006E1171"/>
    <w:rsid w:val="006F0971"/>
    <w:rsid w:val="00704AC3"/>
    <w:rsid w:val="0072334C"/>
    <w:rsid w:val="00725B38"/>
    <w:rsid w:val="00732F56"/>
    <w:rsid w:val="007553CD"/>
    <w:rsid w:val="007607C6"/>
    <w:rsid w:val="00802D71"/>
    <w:rsid w:val="00824C73"/>
    <w:rsid w:val="0084371C"/>
    <w:rsid w:val="00847F98"/>
    <w:rsid w:val="008925D0"/>
    <w:rsid w:val="00895BEA"/>
    <w:rsid w:val="008A3497"/>
    <w:rsid w:val="008A718C"/>
    <w:rsid w:val="008B4316"/>
    <w:rsid w:val="008E1F6F"/>
    <w:rsid w:val="008F0F56"/>
    <w:rsid w:val="00917A54"/>
    <w:rsid w:val="00960D38"/>
    <w:rsid w:val="00965904"/>
    <w:rsid w:val="009B568C"/>
    <w:rsid w:val="009B7EFE"/>
    <w:rsid w:val="009F2545"/>
    <w:rsid w:val="009F5ACE"/>
    <w:rsid w:val="00A43553"/>
    <w:rsid w:val="00AA1AF9"/>
    <w:rsid w:val="00AA298F"/>
    <w:rsid w:val="00AC5391"/>
    <w:rsid w:val="00AD4DD4"/>
    <w:rsid w:val="00AE28C0"/>
    <w:rsid w:val="00B333A4"/>
    <w:rsid w:val="00B33B79"/>
    <w:rsid w:val="00B4744D"/>
    <w:rsid w:val="00B62E7B"/>
    <w:rsid w:val="00B75CFF"/>
    <w:rsid w:val="00B92C57"/>
    <w:rsid w:val="00BA5F40"/>
    <w:rsid w:val="00BF2B8C"/>
    <w:rsid w:val="00BF4A64"/>
    <w:rsid w:val="00BF4F8C"/>
    <w:rsid w:val="00C20DD6"/>
    <w:rsid w:val="00C26074"/>
    <w:rsid w:val="00C315EA"/>
    <w:rsid w:val="00C72ACE"/>
    <w:rsid w:val="00C76BC7"/>
    <w:rsid w:val="00C83B0A"/>
    <w:rsid w:val="00C97F5C"/>
    <w:rsid w:val="00CA0410"/>
    <w:rsid w:val="00CA1ACE"/>
    <w:rsid w:val="00CC3A83"/>
    <w:rsid w:val="00CC72A9"/>
    <w:rsid w:val="00CE1E0C"/>
    <w:rsid w:val="00CE277E"/>
    <w:rsid w:val="00CF442E"/>
    <w:rsid w:val="00CF66B3"/>
    <w:rsid w:val="00D01F0E"/>
    <w:rsid w:val="00D10457"/>
    <w:rsid w:val="00D22024"/>
    <w:rsid w:val="00D25F82"/>
    <w:rsid w:val="00D56867"/>
    <w:rsid w:val="00D61476"/>
    <w:rsid w:val="00D8267F"/>
    <w:rsid w:val="00D83964"/>
    <w:rsid w:val="00D87B4F"/>
    <w:rsid w:val="00D90B95"/>
    <w:rsid w:val="00DD2C11"/>
    <w:rsid w:val="00DD5C43"/>
    <w:rsid w:val="00DE2A74"/>
    <w:rsid w:val="00DE5F11"/>
    <w:rsid w:val="00E02A7F"/>
    <w:rsid w:val="00E07880"/>
    <w:rsid w:val="00E20721"/>
    <w:rsid w:val="00E31131"/>
    <w:rsid w:val="00E312C7"/>
    <w:rsid w:val="00E379D2"/>
    <w:rsid w:val="00E70616"/>
    <w:rsid w:val="00E82621"/>
    <w:rsid w:val="00E86B05"/>
    <w:rsid w:val="00ED5B7A"/>
    <w:rsid w:val="00ED72FD"/>
    <w:rsid w:val="00EF4319"/>
    <w:rsid w:val="00F24F6D"/>
    <w:rsid w:val="00F2603F"/>
    <w:rsid w:val="00F43F54"/>
    <w:rsid w:val="00F50137"/>
    <w:rsid w:val="00F525A6"/>
    <w:rsid w:val="00F544FD"/>
    <w:rsid w:val="00F56DBA"/>
    <w:rsid w:val="00F64407"/>
    <w:rsid w:val="00F647A4"/>
    <w:rsid w:val="00F75CDC"/>
    <w:rsid w:val="00F7641A"/>
    <w:rsid w:val="00F77C9A"/>
    <w:rsid w:val="00FB576C"/>
    <w:rsid w:val="00FC3215"/>
    <w:rsid w:val="00FC43A1"/>
    <w:rsid w:val="00FD2AA6"/>
    <w:rsid w:val="00FD66D5"/>
    <w:rsid w:val="00FE7E8A"/>
    <w:rsid w:val="27DF79B8"/>
    <w:rsid w:val="2ACB2FA6"/>
    <w:rsid w:val="37F32224"/>
    <w:rsid w:val="49B44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1"/>
    <w:semiHidden/>
    <w:unhideWhenUsed/>
    <w:qFormat/>
    <w:uiPriority w:val="99"/>
    <w:rPr>
      <w:b/>
      <w:bCs/>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页脚 Char"/>
    <w:link w:val="4"/>
    <w:qFormat/>
    <w:uiPriority w:val="99"/>
    <w:rPr>
      <w:kern w:val="2"/>
      <w:sz w:val="18"/>
      <w:szCs w:val="18"/>
    </w:rPr>
  </w:style>
  <w:style w:type="character" w:customStyle="1" w:styleId="13">
    <w:name w:val="页眉 Char"/>
    <w:link w:val="5"/>
    <w:semiHidden/>
    <w:qFormat/>
    <w:uiPriority w:val="99"/>
    <w:rPr>
      <w:kern w:val="2"/>
      <w:sz w:val="18"/>
      <w:szCs w:val="18"/>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批注框文本 Char"/>
    <w:link w:val="3"/>
    <w:semiHidden/>
    <w:qFormat/>
    <w:uiPriority w:val="99"/>
    <w:rPr>
      <w:kern w:val="2"/>
      <w:sz w:val="18"/>
      <w:szCs w:val="18"/>
    </w:rPr>
  </w:style>
  <w:style w:type="character" w:customStyle="1" w:styleId="16">
    <w:name w:val="方案正文 Char"/>
    <w:link w:val="17"/>
    <w:qFormat/>
    <w:locked/>
    <w:uiPriority w:val="0"/>
    <w:rPr>
      <w:rFonts w:ascii="仿宋_GB2312" w:hAnsi="宋体" w:eastAsia="仿宋_GB2312"/>
      <w:sz w:val="28"/>
      <w:szCs w:val="28"/>
    </w:rPr>
  </w:style>
  <w:style w:type="paragraph" w:customStyle="1" w:styleId="17">
    <w:name w:val="方案正文"/>
    <w:basedOn w:val="1"/>
    <w:link w:val="16"/>
    <w:qFormat/>
    <w:uiPriority w:val="0"/>
    <w:pPr>
      <w:spacing w:line="360" w:lineRule="auto"/>
      <w:ind w:firstLine="560" w:firstLineChars="200"/>
    </w:pPr>
    <w:rPr>
      <w:rFonts w:ascii="仿宋_GB2312" w:hAnsi="宋体" w:eastAsia="仿宋_GB2312"/>
      <w:kern w:val="0"/>
      <w:sz w:val="28"/>
      <w:szCs w:val="28"/>
    </w:rPr>
  </w:style>
  <w:style w:type="paragraph" w:customStyle="1" w:styleId="18">
    <w:name w:val="Table Paragraph"/>
    <w:basedOn w:val="1"/>
    <w:qFormat/>
    <w:uiPriority w:val="99"/>
    <w:rPr>
      <w:rFonts w:eastAsia="仿宋_GB2312"/>
      <w:sz w:val="32"/>
    </w:rPr>
  </w:style>
  <w:style w:type="table" w:customStyle="1" w:styleId="19">
    <w:name w:val="Table Normal"/>
    <w:unhideWhenUsed/>
    <w:qFormat/>
    <w:uiPriority w:val="2"/>
    <w:tblPr>
      <w:tblLayout w:type="fixed"/>
      <w:tblCellMar>
        <w:top w:w="0" w:type="dxa"/>
        <w:left w:w="0" w:type="dxa"/>
        <w:bottom w:w="0" w:type="dxa"/>
        <w:right w:w="0" w:type="dxa"/>
      </w:tblCellMar>
    </w:tblPr>
  </w:style>
  <w:style w:type="character" w:customStyle="1" w:styleId="20">
    <w:name w:val="批注文字 Char"/>
    <w:basedOn w:val="9"/>
    <w:link w:val="2"/>
    <w:qFormat/>
    <w:uiPriority w:val="99"/>
    <w:rPr>
      <w:kern w:val="2"/>
      <w:sz w:val="21"/>
      <w:szCs w:val="24"/>
    </w:rPr>
  </w:style>
  <w:style w:type="character" w:customStyle="1" w:styleId="21">
    <w:name w:val="批注主题 Char"/>
    <w:basedOn w:val="20"/>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1190</Words>
  <Characters>373</Characters>
  <Lines>3</Lines>
  <Paragraphs>3</Paragraphs>
  <TotalTime>0</TotalTime>
  <ScaleCrop>false</ScaleCrop>
  <LinksUpToDate>false</LinksUpToDate>
  <CharactersWithSpaces>1560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2021-08-10T10:21:40Z</dcterms:modified>
  <dc:title>××产品质量监督抽查实施细则</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