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江门市插头插座产品质量监督抽查实施细则</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仿宋" w:eastAsia="方正小标宋简体" w:cs="方正仿宋简体"/>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黑体" w:hAnsi="宋体" w:eastAsia="黑体"/>
          <w:szCs w:val="21"/>
        </w:rPr>
      </w:pPr>
      <w:r>
        <w:rPr>
          <w:rFonts w:hint="eastAsia" w:ascii="黑体" w:hAnsi="宋体" w:eastAsia="黑体"/>
          <w:szCs w:val="21"/>
          <w:lang w:val="en-US" w:eastAsia="zh-CN"/>
        </w:rPr>
        <w:t>一、</w:t>
      </w:r>
      <w:r>
        <w:rPr>
          <w:rFonts w:hint="eastAsia" w:ascii="黑体" w:hAnsi="宋体" w:eastAsia="黑体"/>
          <w:szCs w:val="21"/>
        </w:rPr>
        <w:t>抽样方法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szCs w:val="21"/>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szCs w:val="21"/>
        </w:rPr>
        <w:t>每批次产品抽取样品12只，其中9只作为检验样品，3只作为备用样品。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黑体" w:hAnsi="宋体" w:eastAsia="黑体"/>
          <w:szCs w:val="21"/>
        </w:rPr>
      </w:pPr>
      <w:r>
        <w:rPr>
          <w:rFonts w:hint="eastAsia" w:ascii="黑体" w:hAnsi="宋体" w:eastAsia="黑体"/>
          <w:szCs w:val="21"/>
          <w:lang w:val="en-US" w:eastAsia="zh-CN"/>
        </w:rPr>
        <w:t>二、</w:t>
      </w:r>
      <w:r>
        <w:rPr>
          <w:rFonts w:hint="eastAsia" w:ascii="黑体" w:hAnsi="宋体" w:eastAsia="黑体"/>
          <w:szCs w:val="21"/>
        </w:rPr>
        <w:t>主要检验项目及检验项目属性划分</w:t>
      </w:r>
    </w:p>
    <w:tbl>
      <w:tblPr>
        <w:tblStyle w:val="5"/>
        <w:tblW w:w="8423" w:type="dxa"/>
        <w:jc w:val="center"/>
        <w:tblInd w:w="-1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10"/>
        <w:gridCol w:w="1980"/>
        <w:gridCol w:w="1752"/>
        <w:gridCol w:w="836"/>
        <w:gridCol w:w="836"/>
        <w:gridCol w:w="836"/>
        <w:gridCol w:w="836"/>
        <w:gridCol w:w="8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7" w:hRule="atLeast"/>
          <w:tblHeader/>
          <w:jc w:val="center"/>
        </w:trPr>
        <w:tc>
          <w:tcPr>
            <w:tcW w:w="510" w:type="dxa"/>
            <w:shd w:val="clear" w:color="auto" w:fill="auto"/>
            <w:vAlign w:val="center"/>
          </w:tcPr>
          <w:p>
            <w:pPr>
              <w:adjustRightInd w:val="0"/>
              <w:snapToGrid w:val="0"/>
              <w:jc w:val="center"/>
              <w:rPr>
                <w:szCs w:val="21"/>
              </w:rPr>
            </w:pPr>
            <w:r>
              <w:rPr>
                <w:szCs w:val="21"/>
              </w:rPr>
              <w:t>序号</w:t>
            </w:r>
          </w:p>
        </w:tc>
        <w:tc>
          <w:tcPr>
            <w:tcW w:w="1980" w:type="dxa"/>
            <w:shd w:val="clear" w:color="auto" w:fill="auto"/>
            <w:vAlign w:val="center"/>
          </w:tcPr>
          <w:p>
            <w:pPr>
              <w:adjustRightInd w:val="0"/>
              <w:snapToGrid w:val="0"/>
              <w:jc w:val="center"/>
              <w:rPr>
                <w:szCs w:val="21"/>
              </w:rPr>
            </w:pPr>
            <w:r>
              <w:rPr>
                <w:szCs w:val="21"/>
              </w:rPr>
              <w:t>检验项目</w:t>
            </w:r>
          </w:p>
        </w:tc>
        <w:tc>
          <w:tcPr>
            <w:tcW w:w="1752" w:type="dxa"/>
            <w:shd w:val="clear" w:color="auto" w:fill="auto"/>
            <w:vAlign w:val="center"/>
          </w:tcPr>
          <w:p>
            <w:pPr>
              <w:adjustRightInd w:val="0"/>
              <w:snapToGrid w:val="0"/>
              <w:jc w:val="center"/>
              <w:rPr>
                <w:szCs w:val="21"/>
              </w:rPr>
            </w:pPr>
            <w:r>
              <w:rPr>
                <w:szCs w:val="21"/>
              </w:rPr>
              <w:t>检验方法</w:t>
            </w:r>
          </w:p>
        </w:tc>
        <w:tc>
          <w:tcPr>
            <w:tcW w:w="836" w:type="dxa"/>
            <w:shd w:val="clear" w:color="auto" w:fill="auto"/>
            <w:vAlign w:val="center"/>
          </w:tcPr>
          <w:p>
            <w:pPr>
              <w:adjustRightInd w:val="0"/>
              <w:snapToGrid w:val="0"/>
              <w:jc w:val="center"/>
              <w:rPr>
                <w:szCs w:val="21"/>
              </w:rPr>
            </w:pPr>
            <w:r>
              <w:rPr>
                <w:szCs w:val="21"/>
              </w:rPr>
              <w:t>强制性</w:t>
            </w:r>
          </w:p>
        </w:tc>
        <w:tc>
          <w:tcPr>
            <w:tcW w:w="836" w:type="dxa"/>
            <w:shd w:val="clear" w:color="auto" w:fill="auto"/>
            <w:vAlign w:val="center"/>
          </w:tcPr>
          <w:p>
            <w:pPr>
              <w:adjustRightInd w:val="0"/>
              <w:snapToGrid w:val="0"/>
              <w:jc w:val="center"/>
              <w:rPr>
                <w:szCs w:val="21"/>
              </w:rPr>
            </w:pPr>
            <w:r>
              <w:rPr>
                <w:szCs w:val="21"/>
              </w:rPr>
              <w:t>非强制性</w:t>
            </w:r>
          </w:p>
        </w:tc>
        <w:tc>
          <w:tcPr>
            <w:tcW w:w="836" w:type="dxa"/>
            <w:shd w:val="clear" w:color="auto" w:fill="auto"/>
            <w:vAlign w:val="center"/>
          </w:tcPr>
          <w:p>
            <w:pPr>
              <w:adjustRightInd w:val="0"/>
              <w:snapToGrid w:val="0"/>
              <w:jc w:val="center"/>
              <w:rPr>
                <w:szCs w:val="21"/>
              </w:rPr>
            </w:pPr>
            <w:r>
              <w:rPr>
                <w:szCs w:val="21"/>
              </w:rPr>
              <w:t>重要项</w:t>
            </w:r>
          </w:p>
        </w:tc>
        <w:tc>
          <w:tcPr>
            <w:tcW w:w="836" w:type="dxa"/>
            <w:shd w:val="clear" w:color="auto" w:fill="auto"/>
            <w:vAlign w:val="center"/>
          </w:tcPr>
          <w:p>
            <w:pPr>
              <w:adjustRightInd w:val="0"/>
              <w:snapToGrid w:val="0"/>
              <w:jc w:val="center"/>
              <w:rPr>
                <w:szCs w:val="21"/>
              </w:rPr>
            </w:pPr>
            <w:r>
              <w:rPr>
                <w:szCs w:val="21"/>
              </w:rPr>
              <w:t>较重要项</w:t>
            </w:r>
          </w:p>
        </w:tc>
        <w:tc>
          <w:tcPr>
            <w:tcW w:w="837" w:type="dxa"/>
            <w:shd w:val="clear" w:color="auto" w:fill="auto"/>
            <w:vAlign w:val="center"/>
          </w:tcPr>
          <w:p>
            <w:pPr>
              <w:adjustRightInd w:val="0"/>
              <w:snapToGrid w:val="0"/>
              <w:jc w:val="center"/>
              <w:rPr>
                <w:szCs w:val="21"/>
              </w:rPr>
            </w:pPr>
            <w:r>
              <w:rPr>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1</w:t>
            </w:r>
          </w:p>
        </w:tc>
        <w:tc>
          <w:tcPr>
            <w:tcW w:w="19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标志</w:t>
            </w:r>
          </w:p>
        </w:tc>
        <w:tc>
          <w:tcPr>
            <w:tcW w:w="17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kern w:val="0"/>
                <w:szCs w:val="21"/>
              </w:rPr>
              <w:t>GB/T 2099.1-2008</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rFonts w:hint="eastAsia"/>
                <w:kern w:val="0"/>
                <w:szCs w:val="21"/>
              </w:rPr>
              <w:t>2</w:t>
            </w:r>
          </w:p>
        </w:tc>
        <w:tc>
          <w:tcPr>
            <w:tcW w:w="19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尺寸检查</w:t>
            </w:r>
          </w:p>
        </w:tc>
        <w:tc>
          <w:tcPr>
            <w:tcW w:w="17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GB/T 1002-2008</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rFonts w:hint="eastAsia"/>
                <w:kern w:val="0"/>
                <w:szCs w:val="21"/>
              </w:rPr>
              <w:t>3</w:t>
            </w:r>
          </w:p>
        </w:tc>
        <w:tc>
          <w:tcPr>
            <w:tcW w:w="19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防触电保护</w:t>
            </w:r>
          </w:p>
        </w:tc>
        <w:tc>
          <w:tcPr>
            <w:tcW w:w="175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kern w:val="0"/>
                <w:szCs w:val="21"/>
              </w:rPr>
              <w:t>GB/T 2099.1-2008</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GB/T 2099.7-2015</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rFonts w:hint="eastAsia"/>
                <w:kern w:val="0"/>
                <w:szCs w:val="21"/>
              </w:rPr>
              <w:t>4</w:t>
            </w:r>
          </w:p>
        </w:tc>
        <w:tc>
          <w:tcPr>
            <w:tcW w:w="19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接地措施</w:t>
            </w:r>
          </w:p>
        </w:tc>
        <w:tc>
          <w:tcPr>
            <w:tcW w:w="175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5</w:t>
            </w:r>
          </w:p>
        </w:tc>
        <w:tc>
          <w:tcPr>
            <w:tcW w:w="19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端子端头</w:t>
            </w:r>
          </w:p>
        </w:tc>
        <w:tc>
          <w:tcPr>
            <w:tcW w:w="17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GB/T 2099.1-2008</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rFonts w:hint="eastAsia"/>
                <w:kern w:val="0"/>
                <w:szCs w:val="21"/>
              </w:rPr>
              <w:t>6</w:t>
            </w:r>
          </w:p>
        </w:tc>
        <w:tc>
          <w:tcPr>
            <w:tcW w:w="19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固定式插座的结构</w:t>
            </w:r>
          </w:p>
        </w:tc>
        <w:tc>
          <w:tcPr>
            <w:tcW w:w="17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GB/T 2099.1-2008</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rFonts w:hint="eastAsia"/>
                <w:kern w:val="0"/>
                <w:szCs w:val="21"/>
              </w:rPr>
              <w:t>7</w:t>
            </w:r>
          </w:p>
        </w:tc>
        <w:tc>
          <w:tcPr>
            <w:tcW w:w="19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插头和移动式插座的结构（若采用GB/T 2099.7则检验项目名称改为延长线插座的结构）</w:t>
            </w:r>
          </w:p>
        </w:tc>
        <w:tc>
          <w:tcPr>
            <w:tcW w:w="175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kern w:val="0"/>
                <w:szCs w:val="21"/>
              </w:rPr>
              <w:t>GB/T 2099.1-2008</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GB/T 2099.7-2015</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rFonts w:hint="eastAsia"/>
                <w:kern w:val="0"/>
                <w:szCs w:val="21"/>
              </w:rPr>
              <w:t>8</w:t>
            </w:r>
          </w:p>
        </w:tc>
        <w:tc>
          <w:tcPr>
            <w:tcW w:w="19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rFonts w:hint="eastAsia"/>
                <w:kern w:val="0"/>
                <w:szCs w:val="21"/>
              </w:rPr>
              <w:t>耐老化、由外壳提供的防护和</w:t>
            </w:r>
            <w:r>
              <w:rPr>
                <w:kern w:val="0"/>
                <w:szCs w:val="21"/>
              </w:rPr>
              <w:t>防潮</w:t>
            </w:r>
          </w:p>
        </w:tc>
        <w:tc>
          <w:tcPr>
            <w:tcW w:w="175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rFonts w:hint="eastAsia"/>
                <w:kern w:val="0"/>
                <w:szCs w:val="21"/>
              </w:rPr>
              <w:t>9</w:t>
            </w:r>
          </w:p>
        </w:tc>
        <w:tc>
          <w:tcPr>
            <w:tcW w:w="19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绝缘电阻和电气强度</w:t>
            </w:r>
          </w:p>
        </w:tc>
        <w:tc>
          <w:tcPr>
            <w:tcW w:w="175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10</w:t>
            </w:r>
          </w:p>
        </w:tc>
        <w:tc>
          <w:tcPr>
            <w:tcW w:w="19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接地触头的工作</w:t>
            </w:r>
          </w:p>
        </w:tc>
        <w:tc>
          <w:tcPr>
            <w:tcW w:w="175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rFonts w:hint="eastAsia"/>
                <w:kern w:val="0"/>
                <w:szCs w:val="21"/>
              </w:rPr>
              <w:t>11</w:t>
            </w:r>
          </w:p>
        </w:tc>
        <w:tc>
          <w:tcPr>
            <w:tcW w:w="19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温升</w:t>
            </w:r>
          </w:p>
        </w:tc>
        <w:tc>
          <w:tcPr>
            <w:tcW w:w="175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12</w:t>
            </w:r>
          </w:p>
        </w:tc>
        <w:tc>
          <w:tcPr>
            <w:tcW w:w="19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分断容量</w:t>
            </w:r>
          </w:p>
        </w:tc>
        <w:tc>
          <w:tcPr>
            <w:tcW w:w="175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13</w:t>
            </w:r>
          </w:p>
        </w:tc>
        <w:tc>
          <w:tcPr>
            <w:tcW w:w="19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正常操作</w:t>
            </w:r>
          </w:p>
        </w:tc>
        <w:tc>
          <w:tcPr>
            <w:tcW w:w="175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rFonts w:hint="eastAsia"/>
                <w:kern w:val="0"/>
                <w:szCs w:val="21"/>
              </w:rPr>
              <w:t>14</w:t>
            </w:r>
          </w:p>
        </w:tc>
        <w:tc>
          <w:tcPr>
            <w:tcW w:w="19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拔出插头所需的力</w:t>
            </w:r>
          </w:p>
        </w:tc>
        <w:tc>
          <w:tcPr>
            <w:tcW w:w="175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rFonts w:hint="eastAsia"/>
                <w:kern w:val="0"/>
                <w:szCs w:val="21"/>
              </w:rPr>
              <w:t>15</w:t>
            </w:r>
          </w:p>
        </w:tc>
        <w:tc>
          <w:tcPr>
            <w:tcW w:w="19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弯曲试验</w:t>
            </w:r>
          </w:p>
        </w:tc>
        <w:tc>
          <w:tcPr>
            <w:tcW w:w="17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kern w:val="0"/>
                <w:szCs w:val="21"/>
              </w:rPr>
              <w:t>GB/T 2099.1-2008</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GB/T 2099.7-2015</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16</w:t>
            </w:r>
          </w:p>
        </w:tc>
        <w:tc>
          <w:tcPr>
            <w:tcW w:w="19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机械强度</w:t>
            </w:r>
          </w:p>
        </w:tc>
        <w:tc>
          <w:tcPr>
            <w:tcW w:w="175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kern w:val="0"/>
                <w:szCs w:val="21"/>
              </w:rPr>
              <w:t>GB/T 2099.1-2008</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kern w:val="0"/>
                <w:szCs w:val="21"/>
              </w:rPr>
              <w:t>GB/T 2099.7-2015</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rFonts w:hint="eastAsia"/>
                <w:kern w:val="0"/>
                <w:szCs w:val="21"/>
              </w:rPr>
              <w:t>17</w:t>
            </w:r>
          </w:p>
        </w:tc>
        <w:tc>
          <w:tcPr>
            <w:tcW w:w="19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kern w:val="0"/>
                <w:szCs w:val="21"/>
              </w:rPr>
              <w:t>耐热</w:t>
            </w:r>
          </w:p>
        </w:tc>
        <w:tc>
          <w:tcPr>
            <w:tcW w:w="175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4" w:hRule="atLeast"/>
          <w:jc w:val="center"/>
        </w:trPr>
        <w:tc>
          <w:tcPr>
            <w:tcW w:w="5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18</w:t>
            </w:r>
          </w:p>
        </w:tc>
        <w:tc>
          <w:tcPr>
            <w:tcW w:w="19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kern w:val="0"/>
                <w:szCs w:val="21"/>
              </w:rPr>
              <w:t>爬电距离、电气间隙和通过密封胶的距离</w:t>
            </w:r>
          </w:p>
        </w:tc>
        <w:tc>
          <w:tcPr>
            <w:tcW w:w="175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21"/>
                <w:szCs w:val="21"/>
              </w:rPr>
            </w:pPr>
            <w:r>
              <w:rPr>
                <w:rFonts w:hint="eastAsia" w:ascii="宋体" w:hAnsi="宋体" w:eastAsia="宋体" w:cs="宋体"/>
                <w:sz w:val="21"/>
                <w:szCs w:val="21"/>
              </w:rPr>
              <w:t>●</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Cs w:val="21"/>
              </w:rPr>
            </w:pPr>
          </w:p>
        </w:tc>
        <w:tc>
          <w:tcPr>
            <w:tcW w:w="83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19</w:t>
            </w:r>
          </w:p>
        </w:tc>
        <w:tc>
          <w:tcPr>
            <w:tcW w:w="19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kern w:val="0"/>
                <w:szCs w:val="21"/>
              </w:rPr>
              <w:t>绝缘材料的耐非正常热、耐燃和耐电痕化</w:t>
            </w:r>
          </w:p>
        </w:tc>
        <w:tc>
          <w:tcPr>
            <w:tcW w:w="175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21"/>
                <w:szCs w:val="21"/>
              </w:rPr>
            </w:pPr>
            <w:r>
              <w:rPr>
                <w:rFonts w:hint="eastAsia" w:ascii="宋体" w:hAnsi="宋体" w:eastAsia="宋体" w:cs="宋体"/>
                <w:sz w:val="21"/>
                <w:szCs w:val="21"/>
              </w:rPr>
              <w:t>●</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Cs w:val="21"/>
              </w:rPr>
            </w:pPr>
          </w:p>
        </w:tc>
        <w:tc>
          <w:tcPr>
            <w:tcW w:w="83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Cs w:val="21"/>
              </w:rPr>
            </w:pPr>
          </w:p>
        </w:tc>
      </w:tr>
    </w:tbl>
    <w:p>
      <w:pPr>
        <w:snapToGrid w:val="0"/>
        <w:spacing w:line="440" w:lineRule="exact"/>
        <w:ind w:firstLine="359" w:firstLineChars="171"/>
        <w:rPr>
          <w:rFonts w:ascii="宋体" w:hAnsi="宋体"/>
        </w:rPr>
      </w:pPr>
      <w:r>
        <w:rPr>
          <w:rFonts w:ascii="宋体" w:hAnsi="宋体"/>
        </w:rPr>
        <w:t>注：</w:t>
      </w:r>
      <w:r>
        <w:rPr>
          <w:rFonts w:hint="eastAsia" w:ascii="宋体" w:hAnsi="宋体"/>
          <w:lang w:val="en-US" w:eastAsia="zh-CN"/>
        </w:rPr>
        <w:t>1.</w:t>
      </w:r>
      <w:r>
        <w:rPr>
          <w:rFonts w:ascii="宋体" w:hAnsi="宋体"/>
        </w:rPr>
        <w:t>对于延长线插座（移动式插座）和转换器，由于执行标准GB/T 2099.7-2015和GB/T 2099.3-2015于2017年4月14日实施，故建议抽取生产日期2017年4月14日以后的产品。</w:t>
      </w:r>
    </w:p>
    <w:p>
      <w:pPr>
        <w:snapToGrid w:val="0"/>
        <w:spacing w:line="440" w:lineRule="exact"/>
        <w:ind w:firstLine="359" w:firstLineChars="171"/>
        <w:rPr>
          <w:rFonts w:ascii="宋体" w:hAnsi="宋体"/>
        </w:rPr>
      </w:pPr>
      <w:r>
        <w:rPr>
          <w:rFonts w:hint="eastAsia" w:ascii="宋体" w:hAnsi="宋体"/>
          <w:lang w:val="en-US" w:eastAsia="zh-CN"/>
        </w:rPr>
        <w:t>2.</w:t>
      </w:r>
      <w:r>
        <w:rPr>
          <w:rFonts w:hint="eastAsia" w:ascii="宋体" w:hAnsi="宋体"/>
        </w:rPr>
        <w:t>执行企业标准、团体标准、地方标准的产品，检验项目参照上述内容执行。</w:t>
      </w:r>
    </w:p>
    <w:p>
      <w:pPr>
        <w:snapToGrid w:val="0"/>
        <w:spacing w:line="440" w:lineRule="exact"/>
        <w:ind w:firstLine="359" w:firstLineChars="171"/>
        <w:rPr>
          <w:rFonts w:ascii="宋体" w:hAnsi="宋体"/>
        </w:rPr>
      </w:pPr>
      <w:r>
        <w:rPr>
          <w:rFonts w:hint="eastAsia" w:ascii="宋体" w:hAnsi="宋体"/>
          <w:lang w:val="en-US" w:eastAsia="zh-CN"/>
        </w:rPr>
        <w:t>3.</w:t>
      </w:r>
      <w:bookmarkStart w:id="0" w:name="_GoBack"/>
      <w:bookmarkEnd w:id="0"/>
      <w:r>
        <w:rPr>
          <w:rFonts w:hint="eastAsia" w:ascii="宋体" w:hAnsi="宋体"/>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宋体" w:hAnsi="宋体"/>
          <w:szCs w:val="21"/>
        </w:rPr>
      </w:pP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ascii="黑体" w:hAnsi="黑体" w:eastAsia="黑体"/>
          <w:szCs w:val="21"/>
        </w:rPr>
      </w:pPr>
      <w:r>
        <w:rPr>
          <w:rFonts w:hint="eastAsia" w:ascii="黑体" w:hAnsi="黑体" w:eastAsia="黑体"/>
          <w:szCs w:val="21"/>
          <w:lang w:val="en-US" w:eastAsia="zh-CN"/>
        </w:rPr>
        <w:t>三、</w:t>
      </w:r>
      <w:r>
        <w:rPr>
          <w:rFonts w:hint="eastAsia" w:ascii="黑体" w:hAnsi="黑体" w:eastAsia="黑体"/>
          <w:szCs w:val="21"/>
        </w:rPr>
        <w:t>判定规则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lang w:eastAsia="zh-CN"/>
        </w:rPr>
        <w:t>（</w:t>
      </w:r>
      <w:r>
        <w:rPr>
          <w:rFonts w:hint="eastAsia" w:ascii="宋体" w:hAnsi="宋体"/>
          <w:szCs w:val="21"/>
          <w:lang w:val="en-US" w:eastAsia="zh-CN"/>
        </w:rPr>
        <w:t>一</w:t>
      </w:r>
      <w:r>
        <w:rPr>
          <w:rFonts w:hint="eastAsia" w:ascii="宋体" w:hAnsi="宋体"/>
          <w:szCs w:val="21"/>
          <w:lang w:eastAsia="zh-CN"/>
        </w:rPr>
        <w:t>）</w:t>
      </w:r>
      <w:r>
        <w:rPr>
          <w:rFonts w:hint="eastAsia" w:ascii="宋体" w:hAnsi="宋体"/>
          <w:szCs w:val="21"/>
        </w:rPr>
        <w:t>依据标准</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GB/T 2099.1-2008 《家用和类似用途插头插座第1部分：通用要求》</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GB/T 2099.7-2015 《家用和类似用途插头插座第2-7部分：延长线插座的特殊要求》</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GB/T 1002-2008 《家用和类似用途单相插头插座型式、基本参数和尺寸》</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现行有效的企业标准和产品明示指标或其他相适应的产品标准。</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lang w:eastAsia="zh-CN"/>
        </w:rPr>
        <w:t>（</w:t>
      </w:r>
      <w:r>
        <w:rPr>
          <w:rFonts w:hint="eastAsia" w:ascii="宋体" w:hAnsi="宋体"/>
          <w:szCs w:val="21"/>
          <w:lang w:val="en-US" w:eastAsia="zh-CN"/>
        </w:rPr>
        <w:t>二</w:t>
      </w:r>
      <w:r>
        <w:rPr>
          <w:rFonts w:hint="eastAsia" w:ascii="宋体" w:hAnsi="宋体"/>
          <w:szCs w:val="21"/>
          <w:lang w:eastAsia="zh-CN"/>
        </w:rPr>
        <w:t>）</w:t>
      </w:r>
      <w:r>
        <w:rPr>
          <w:rFonts w:hint="eastAsia" w:ascii="宋体" w:hAnsi="宋体"/>
          <w:szCs w:val="21"/>
        </w:rPr>
        <w:t>判定原则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rPr>
        <w:t>经检验，检验项目全部合格，判定为抽取的样本所检项目未检出不合格；检验项目中任一项或一项以上不合格，判定为被抽查产品不合格。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当被检样品明示的质量要求优于监督抽查实施细则中依据的标准要求时，应按被检样品明示的质量要求判定</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当被检样品明示的质量要求劣于或不包含监督抽查实施细则中依据的强制性标准要求时，应按照强制性标准要求判定</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当被检样品明示的质量要求劣于或包含监督抽查实施细则中依据的推荐性标准要求时，应以被检样品明示的质量要求判定，如相应检验结果不符合相关推荐性标准要求时，应在检验报告中予以说明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当被检样品明示的质量要求不包含监督抽查实施细则中依据的推荐性标准要求时，该指标不参与判定，但应在检验报告中作出说明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当被检样品未能提供有效的企业标准时，按相关国家或行业标准进行判定</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当被检样品标签标识中执行标准信息和产品类别信息不明或有误，影响检测和判定时，可根据相关强制性标准要求，同时结合产品特点等信息判断和选择相关标准进行检验，并应在检验报告中作出相关说明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szCs w:val="21"/>
        </w:rPr>
      </w:pPr>
      <w:r>
        <w:rPr>
          <w:rFonts w:hint="eastAsia" w:ascii="宋体" w:hAnsi="宋体"/>
          <w:szCs w:val="21"/>
        </w:rPr>
        <w:t>按照产品质量相关法律法规的规定判定。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szCs w:val="21"/>
        </w:rPr>
      </w:pPr>
      <w:r>
        <w:rPr>
          <w:rFonts w:hint="eastAsia" w:ascii="宋体" w:hAnsi="宋体"/>
          <w:szCs w:val="21"/>
        </w:rPr>
        <w:t>检验中发现因样品失效或者其他原因致使检验无法进行的，检验人员应如实记录，并提供相关证明材料，报送组织监督抽查的市场监管部门。</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eastAsia="zh-CN"/>
      </w:rPr>
      <w:fldChar w:fldCharType="begin"/>
    </w:r>
    <w:r>
      <w:rPr>
        <w:lang w:val="zh-CN" w:eastAsia="zh-CN"/>
      </w:rPr>
      <w:instrText xml:space="preserve"> PAGE   \* MERGEFORMAT </w:instrText>
    </w:r>
    <w:r>
      <w:rPr>
        <w:lang w:val="zh-CN" w:eastAsia="zh-CN"/>
      </w:rPr>
      <w:fldChar w:fldCharType="separate"/>
    </w:r>
    <w:r>
      <w:rPr>
        <w:lang w:val="en-US" w:eastAsia="zh-CN"/>
      </w:rPr>
      <w:t>3</w:t>
    </w:r>
    <w:r>
      <w:rPr>
        <w:lang w:val="zh-CN" w:eastAsia="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6F2B"/>
    <w:rsid w:val="00051A44"/>
    <w:rsid w:val="00065282"/>
    <w:rsid w:val="00081CBD"/>
    <w:rsid w:val="000976DE"/>
    <w:rsid w:val="00172A27"/>
    <w:rsid w:val="001809DD"/>
    <w:rsid w:val="001D3F42"/>
    <w:rsid w:val="001E45FA"/>
    <w:rsid w:val="001E6534"/>
    <w:rsid w:val="001F7503"/>
    <w:rsid w:val="00211261"/>
    <w:rsid w:val="00232530"/>
    <w:rsid w:val="00240BAF"/>
    <w:rsid w:val="00253624"/>
    <w:rsid w:val="00287723"/>
    <w:rsid w:val="002C2EDA"/>
    <w:rsid w:val="002D7F8A"/>
    <w:rsid w:val="002E0D1D"/>
    <w:rsid w:val="003203A3"/>
    <w:rsid w:val="00352295"/>
    <w:rsid w:val="00365CBE"/>
    <w:rsid w:val="003A7CDE"/>
    <w:rsid w:val="003A7D30"/>
    <w:rsid w:val="003C388C"/>
    <w:rsid w:val="003E61BF"/>
    <w:rsid w:val="004104AC"/>
    <w:rsid w:val="00445E86"/>
    <w:rsid w:val="00474E04"/>
    <w:rsid w:val="004A2D01"/>
    <w:rsid w:val="004A66D5"/>
    <w:rsid w:val="004B00EF"/>
    <w:rsid w:val="004B51FD"/>
    <w:rsid w:val="004D0C5A"/>
    <w:rsid w:val="004E1396"/>
    <w:rsid w:val="004E2733"/>
    <w:rsid w:val="004E3259"/>
    <w:rsid w:val="00536AB6"/>
    <w:rsid w:val="005544BD"/>
    <w:rsid w:val="00563EBC"/>
    <w:rsid w:val="00570D32"/>
    <w:rsid w:val="0058431B"/>
    <w:rsid w:val="005F7B92"/>
    <w:rsid w:val="00614D5B"/>
    <w:rsid w:val="00682CA7"/>
    <w:rsid w:val="006B422C"/>
    <w:rsid w:val="006E0C7B"/>
    <w:rsid w:val="006E1171"/>
    <w:rsid w:val="006F0971"/>
    <w:rsid w:val="006F5CCB"/>
    <w:rsid w:val="0072334C"/>
    <w:rsid w:val="00725B38"/>
    <w:rsid w:val="00732F56"/>
    <w:rsid w:val="007553CD"/>
    <w:rsid w:val="007607C6"/>
    <w:rsid w:val="00762ACA"/>
    <w:rsid w:val="007F0854"/>
    <w:rsid w:val="00824C73"/>
    <w:rsid w:val="0084371C"/>
    <w:rsid w:val="00865C97"/>
    <w:rsid w:val="008925D0"/>
    <w:rsid w:val="00895BEA"/>
    <w:rsid w:val="008A3497"/>
    <w:rsid w:val="008A718C"/>
    <w:rsid w:val="008B4316"/>
    <w:rsid w:val="008C73F7"/>
    <w:rsid w:val="00917A54"/>
    <w:rsid w:val="00960D38"/>
    <w:rsid w:val="00965904"/>
    <w:rsid w:val="009B568C"/>
    <w:rsid w:val="009B7EFE"/>
    <w:rsid w:val="009C43AD"/>
    <w:rsid w:val="009E3DB2"/>
    <w:rsid w:val="009F2545"/>
    <w:rsid w:val="009F5ACE"/>
    <w:rsid w:val="00A43553"/>
    <w:rsid w:val="00A46134"/>
    <w:rsid w:val="00AA1AF9"/>
    <w:rsid w:val="00AA298F"/>
    <w:rsid w:val="00AC5391"/>
    <w:rsid w:val="00AE0CDB"/>
    <w:rsid w:val="00B333A4"/>
    <w:rsid w:val="00B62E7B"/>
    <w:rsid w:val="00B75CFF"/>
    <w:rsid w:val="00B85B24"/>
    <w:rsid w:val="00B92C57"/>
    <w:rsid w:val="00BA5F40"/>
    <w:rsid w:val="00BF2B8C"/>
    <w:rsid w:val="00C20DD6"/>
    <w:rsid w:val="00C26074"/>
    <w:rsid w:val="00C315EA"/>
    <w:rsid w:val="00C54BB9"/>
    <w:rsid w:val="00C72ACE"/>
    <w:rsid w:val="00C76BC7"/>
    <w:rsid w:val="00C83B0A"/>
    <w:rsid w:val="00C97F5C"/>
    <w:rsid w:val="00CA1ACE"/>
    <w:rsid w:val="00CC72A9"/>
    <w:rsid w:val="00CE1E0C"/>
    <w:rsid w:val="00CE277E"/>
    <w:rsid w:val="00CF442E"/>
    <w:rsid w:val="00D22024"/>
    <w:rsid w:val="00D56867"/>
    <w:rsid w:val="00D61476"/>
    <w:rsid w:val="00D8267F"/>
    <w:rsid w:val="00D87B4F"/>
    <w:rsid w:val="00DB04C1"/>
    <w:rsid w:val="00DB69A6"/>
    <w:rsid w:val="00DD2C11"/>
    <w:rsid w:val="00DD5C43"/>
    <w:rsid w:val="00DE2A74"/>
    <w:rsid w:val="00DE5F11"/>
    <w:rsid w:val="00E02A7F"/>
    <w:rsid w:val="00E07880"/>
    <w:rsid w:val="00E31131"/>
    <w:rsid w:val="00E312C7"/>
    <w:rsid w:val="00E379D2"/>
    <w:rsid w:val="00E60C85"/>
    <w:rsid w:val="00E82621"/>
    <w:rsid w:val="00EC50AA"/>
    <w:rsid w:val="00ED5B7A"/>
    <w:rsid w:val="00ED72FD"/>
    <w:rsid w:val="00EF3323"/>
    <w:rsid w:val="00EF4319"/>
    <w:rsid w:val="00F24F6D"/>
    <w:rsid w:val="00F2603F"/>
    <w:rsid w:val="00F43F54"/>
    <w:rsid w:val="00F50137"/>
    <w:rsid w:val="00F56DBA"/>
    <w:rsid w:val="00F64407"/>
    <w:rsid w:val="00F75CDC"/>
    <w:rsid w:val="00F77C9A"/>
    <w:rsid w:val="00FB576C"/>
    <w:rsid w:val="00FD2AA6"/>
    <w:rsid w:val="00FD66D5"/>
    <w:rsid w:val="00FE7E8A"/>
    <w:rsid w:val="23AB263D"/>
    <w:rsid w:val="25204635"/>
    <w:rsid w:val="29400EAD"/>
    <w:rsid w:val="29404D88"/>
    <w:rsid w:val="37EE0B61"/>
    <w:rsid w:val="627929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lang w:val="zh-CN" w:eastAsia="zh-CN"/>
    </w:rPr>
  </w:style>
  <w:style w:type="paragraph" w:styleId="3">
    <w:name w:val="footer"/>
    <w:basedOn w:val="1"/>
    <w:link w:val="9"/>
    <w:unhideWhenUsed/>
    <w:qFormat/>
    <w:uiPriority w:val="99"/>
    <w:pPr>
      <w:tabs>
        <w:tab w:val="center" w:pos="4153"/>
        <w:tab w:val="right" w:pos="8306"/>
      </w:tabs>
      <w:snapToGrid w:val="0"/>
      <w:jc w:val="left"/>
    </w:pPr>
    <w:rPr>
      <w:sz w:val="18"/>
      <w:szCs w:val="18"/>
      <w:lang w:val="zh-CN" w:eastAsia="zh-CN"/>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lang w:val="zh-CN" w:eastAsia="zh-CN"/>
    </w:rPr>
  </w:style>
  <w:style w:type="table" w:styleId="6">
    <w:name w:val="Table Grid"/>
    <w:basedOn w:val="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page number"/>
    <w:basedOn w:val="7"/>
    <w:qFormat/>
    <w:uiPriority w:val="0"/>
  </w:style>
  <w:style w:type="character" w:customStyle="1" w:styleId="9">
    <w:name w:val="页脚 Char"/>
    <w:link w:val="3"/>
    <w:qFormat/>
    <w:uiPriority w:val="99"/>
    <w:rPr>
      <w:kern w:val="2"/>
      <w:sz w:val="18"/>
      <w:szCs w:val="18"/>
    </w:rPr>
  </w:style>
  <w:style w:type="character" w:customStyle="1" w:styleId="10">
    <w:name w:val="页眉 Char"/>
    <w:link w:val="4"/>
    <w:semiHidden/>
    <w:qFormat/>
    <w:uiPriority w:val="99"/>
    <w:rPr>
      <w:kern w:val="2"/>
      <w:sz w:val="18"/>
      <w:szCs w:val="18"/>
    </w:rPr>
  </w:style>
  <w:style w:type="paragraph" w:customStyle="1" w:styleId="11">
    <w:name w:val="列出段落1"/>
    <w:basedOn w:val="1"/>
    <w:qFormat/>
    <w:uiPriority w:val="34"/>
    <w:pPr>
      <w:ind w:firstLine="420" w:firstLineChars="200"/>
    </w:pPr>
    <w:rPr>
      <w:rFonts w:ascii="Calibri" w:hAnsi="Calibri"/>
      <w:szCs w:val="22"/>
    </w:rPr>
  </w:style>
  <w:style w:type="character" w:customStyle="1" w:styleId="12">
    <w:name w:val="批注框文本 Char"/>
    <w:link w:val="2"/>
    <w:semiHidden/>
    <w:qFormat/>
    <w:uiPriority w:val="99"/>
    <w:rPr>
      <w:kern w:val="2"/>
      <w:sz w:val="18"/>
      <w:szCs w:val="18"/>
    </w:rPr>
  </w:style>
  <w:style w:type="character" w:customStyle="1" w:styleId="13">
    <w:name w:val="方案正文 Char"/>
    <w:link w:val="14"/>
    <w:qFormat/>
    <w:locked/>
    <w:uiPriority w:val="0"/>
    <w:rPr>
      <w:rFonts w:ascii="仿宋_GB2312" w:hAnsi="宋体" w:eastAsia="仿宋_GB2312"/>
      <w:sz w:val="28"/>
      <w:szCs w:val="28"/>
      <w:lang w:val="zh-CN" w:eastAsia="zh-CN"/>
    </w:rPr>
  </w:style>
  <w:style w:type="paragraph" w:customStyle="1" w:styleId="14">
    <w:name w:val="方案正文"/>
    <w:basedOn w:val="1"/>
    <w:link w:val="13"/>
    <w:qFormat/>
    <w:uiPriority w:val="0"/>
    <w:pPr>
      <w:spacing w:line="360" w:lineRule="auto"/>
      <w:ind w:firstLine="560" w:firstLineChars="200"/>
    </w:pPr>
    <w:rPr>
      <w:rFonts w:ascii="仿宋_GB2312" w:hAnsi="宋体" w:eastAsia="仿宋_GB2312"/>
      <w:kern w:val="0"/>
      <w:sz w:val="28"/>
      <w:szCs w:val="28"/>
      <w:lang w:val="zh-CN" w:eastAsia="zh-CN"/>
    </w:rPr>
  </w:style>
  <w:style w:type="paragraph" w:customStyle="1" w:styleId="15">
    <w:name w:val="Table Paragraph"/>
    <w:basedOn w:val="1"/>
    <w:qFormat/>
    <w:uiPriority w:val="99"/>
    <w:rPr>
      <w:rFonts w:eastAsia="仿宋_GB2312"/>
      <w:sz w:val="32"/>
    </w:rPr>
  </w:style>
  <w:style w:type="table" w:customStyle="1" w:styleId="16">
    <w:name w:val="Table Normal"/>
    <w:unhideWhenUsed/>
    <w:qFormat/>
    <w:uiPriority w:val="2"/>
    <w:tblPr>
      <w:tblLayout w:type="fixed"/>
      <w:tblCellMar>
        <w:top w:w="0" w:type="dxa"/>
        <w:left w:w="0" w:type="dxa"/>
        <w:bottom w:w="0" w:type="dxa"/>
        <w:right w:w="0" w:type="dxa"/>
      </w:tblCellMar>
    </w:tblPr>
  </w:style>
  <w:style w:type="paragraph" w:customStyle="1" w:styleId="17">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3</Pages>
  <Words>1175</Words>
  <Characters>493</Characters>
  <Lines>4</Lines>
  <Paragraphs>3</Paragraphs>
  <TotalTime>3</TotalTime>
  <ScaleCrop>false</ScaleCrop>
  <LinksUpToDate>false</LinksUpToDate>
  <CharactersWithSpaces>1665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2021-04-02T07:39:00Z</dcterms:created>
  <dc:creator>Legend User</dc:creator>
  <cp:lastModifiedBy>江门市监局</cp:lastModifiedBy>
  <cp:lastPrinted>2019-12-05T07:53:00Z</cp:lastPrinted>
  <dcterms:modified xsi:type="dcterms:W3CDTF">2021-08-10T02:16:42Z</dcterms:modified>
  <dc:title>××产品质量监督抽查实施细则</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