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96" w:rsidRPr="00086B96" w:rsidRDefault="00086B96" w:rsidP="00086B96">
      <w:pPr>
        <w:widowControl/>
        <w:spacing w:beforeLines="0" w:before="100" w:beforeAutospacing="1" w:after="100" w:afterAutospacing="1" w:line="450" w:lineRule="atLeast"/>
        <w:ind w:firstLineChars="0" w:firstLine="0"/>
        <w:rPr>
          <w:rFonts w:ascii="宋体!important" w:eastAsia="宋体!important" w:hAnsi="宋体" w:cs="宋体" w:hint="eastAsia"/>
          <w:b w:val="0"/>
          <w:color w:val="333333"/>
          <w:kern w:val="0"/>
          <w:sz w:val="21"/>
          <w:szCs w:val="21"/>
        </w:rPr>
      </w:pPr>
      <w:bookmarkStart w:id="0" w:name="_GoBack"/>
      <w:r w:rsidRPr="00086B96">
        <w:rPr>
          <w:rFonts w:ascii="仿宋_GB2312" w:eastAsia="仿宋_GB2312" w:hAnsi="宋体" w:cs="宋体" w:hint="eastAsia"/>
          <w:b w:val="0"/>
          <w:color w:val="333333"/>
          <w:kern w:val="0"/>
          <w:sz w:val="21"/>
          <w:szCs w:val="21"/>
        </w:rPr>
        <w:t>附件2</w:t>
      </w:r>
      <w:r w:rsidRPr="00086B96">
        <w:rPr>
          <w:rFonts w:ascii="宋体!important" w:eastAsia="宋体!important" w:hAnsi="宋体" w:cs="宋体" w:hint="eastAsia"/>
          <w:b w:val="0"/>
          <w:color w:val="333333"/>
          <w:kern w:val="0"/>
          <w:sz w:val="21"/>
          <w:szCs w:val="21"/>
        </w:rPr>
        <w:t xml:space="preserve">  </w:t>
      </w:r>
      <w:r w:rsidRPr="00086B96">
        <w:rPr>
          <w:rFonts w:ascii="仿宋_GB2312" w:eastAsia="仿宋_GB2312" w:hAnsi="宋体" w:cs="宋体" w:hint="eastAsia"/>
          <w:b w:val="0"/>
          <w:color w:val="333333"/>
          <w:kern w:val="0"/>
          <w:sz w:val="21"/>
          <w:szCs w:val="21"/>
        </w:rPr>
        <w:t>暂时停止适用有关法规规定情况表</w:t>
      </w:r>
      <w:bookmarkEnd w:id="0"/>
    </w:p>
    <w:tbl>
      <w:tblPr>
        <w:tblW w:w="8685" w:type="dxa"/>
        <w:tblCellMar>
          <w:top w:w="15" w:type="dxa"/>
          <w:left w:w="15" w:type="dxa"/>
          <w:bottom w:w="15" w:type="dxa"/>
          <w:right w:w="15" w:type="dxa"/>
        </w:tblCellMar>
        <w:tblLook w:val="04A0" w:firstRow="1" w:lastRow="0" w:firstColumn="1" w:lastColumn="0" w:noHBand="0" w:noVBand="1"/>
      </w:tblPr>
      <w:tblGrid>
        <w:gridCol w:w="810"/>
        <w:gridCol w:w="1425"/>
        <w:gridCol w:w="3825"/>
        <w:gridCol w:w="2625"/>
      </w:tblGrid>
      <w:tr w:rsidR="00086B96" w:rsidRPr="00086B96" w:rsidTr="00FE7C49">
        <w:tc>
          <w:tcPr>
            <w:tcW w:w="81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15" w:lineRule="atLeast"/>
              <w:ind w:firstLineChars="0" w:firstLine="0"/>
              <w:jc w:val="center"/>
              <w:rPr>
                <w:rFonts w:ascii="宋体!important" w:eastAsia="宋体!important" w:hAnsi="宋体" w:cs="宋体" w:hint="eastAsia"/>
                <w:b w:val="0"/>
                <w:kern w:val="0"/>
              </w:rPr>
            </w:pPr>
            <w:r w:rsidRPr="00086B96">
              <w:rPr>
                <w:rFonts w:ascii="黑体" w:eastAsia="黑体" w:hAnsi="黑体" w:cs="宋体" w:hint="eastAsia"/>
                <w:b w:val="0"/>
                <w:kern w:val="0"/>
              </w:rPr>
              <w:t>序号</w:t>
            </w:r>
          </w:p>
        </w:tc>
        <w:tc>
          <w:tcPr>
            <w:tcW w:w="1425" w:type="dxa"/>
            <w:tcBorders>
              <w:top w:val="single" w:sz="6" w:space="0" w:color="auto"/>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15" w:lineRule="atLeast"/>
              <w:ind w:firstLineChars="0" w:firstLine="0"/>
              <w:jc w:val="center"/>
              <w:rPr>
                <w:rFonts w:ascii="宋体!important" w:eastAsia="宋体!important" w:hAnsi="宋体" w:cs="宋体" w:hint="eastAsia"/>
                <w:b w:val="0"/>
                <w:kern w:val="0"/>
              </w:rPr>
            </w:pPr>
            <w:r w:rsidRPr="00086B96">
              <w:rPr>
                <w:rFonts w:ascii="黑体" w:eastAsia="黑体" w:hAnsi="黑体" w:cs="宋体" w:hint="eastAsia"/>
                <w:b w:val="0"/>
                <w:kern w:val="0"/>
              </w:rPr>
              <w:t>法规</w:t>
            </w:r>
          </w:p>
        </w:tc>
        <w:tc>
          <w:tcPr>
            <w:tcW w:w="3825" w:type="dxa"/>
            <w:tcBorders>
              <w:top w:val="single" w:sz="6" w:space="0" w:color="auto"/>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15" w:lineRule="atLeast"/>
              <w:ind w:firstLineChars="0" w:firstLine="0"/>
              <w:jc w:val="center"/>
              <w:rPr>
                <w:rFonts w:ascii="宋体!important" w:eastAsia="宋体!important" w:hAnsi="宋体" w:cs="宋体" w:hint="eastAsia"/>
                <w:b w:val="0"/>
                <w:kern w:val="0"/>
              </w:rPr>
            </w:pPr>
            <w:r w:rsidRPr="00086B96">
              <w:rPr>
                <w:rFonts w:ascii="黑体" w:eastAsia="黑体" w:hAnsi="黑体" w:cs="宋体" w:hint="eastAsia"/>
                <w:b w:val="0"/>
                <w:kern w:val="0"/>
              </w:rPr>
              <w:t>原规定</w:t>
            </w:r>
          </w:p>
        </w:tc>
        <w:tc>
          <w:tcPr>
            <w:tcW w:w="2625" w:type="dxa"/>
            <w:tcBorders>
              <w:top w:val="single" w:sz="6" w:space="0" w:color="auto"/>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15" w:lineRule="atLeast"/>
              <w:ind w:firstLineChars="0" w:firstLine="0"/>
              <w:jc w:val="center"/>
              <w:rPr>
                <w:rFonts w:ascii="宋体!important" w:eastAsia="宋体!important" w:hAnsi="宋体" w:cs="宋体" w:hint="eastAsia"/>
                <w:b w:val="0"/>
                <w:kern w:val="0"/>
              </w:rPr>
            </w:pPr>
            <w:r w:rsidRPr="00086B96">
              <w:rPr>
                <w:rFonts w:ascii="黑体" w:eastAsia="黑体" w:hAnsi="黑体" w:cs="宋体" w:hint="eastAsia"/>
                <w:b w:val="0"/>
                <w:kern w:val="0"/>
              </w:rPr>
              <w:t>调整情况</w:t>
            </w:r>
          </w:p>
        </w:tc>
      </w:tr>
      <w:tr w:rsidR="00086B96" w:rsidRPr="00086B96" w:rsidTr="00FE7C49">
        <w:tc>
          <w:tcPr>
            <w:tcW w:w="81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center"/>
              <w:rPr>
                <w:rFonts w:ascii="宋体!important" w:eastAsia="宋体!important" w:hAnsi="宋体" w:cs="宋体" w:hint="eastAsia"/>
                <w:b w:val="0"/>
                <w:kern w:val="0"/>
              </w:rPr>
            </w:pPr>
            <w:r w:rsidRPr="00086B96">
              <w:rPr>
                <w:rFonts w:ascii="仿宋_GB2312" w:eastAsia="仿宋_GB2312" w:hAnsi="宋体" w:cs="宋体" w:hint="eastAsia"/>
                <w:b w:val="0"/>
                <w:kern w:val="0"/>
              </w:rPr>
              <w:t>1</w:t>
            </w:r>
          </w:p>
        </w:tc>
        <w:tc>
          <w:tcPr>
            <w:tcW w:w="1425" w:type="dxa"/>
            <w:vMerge w:val="restart"/>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《深圳经济特区道路交通安全管理条例》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第十二条　市交通运输管理部门进行交通影响评价，应当征求市公安机关交通管理部门的意见。</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暂停</w:t>
            </w:r>
          </w:p>
        </w:tc>
      </w:tr>
      <w:tr w:rsidR="00086B96" w:rsidRPr="00086B96" w:rsidTr="00FE7C49">
        <w:tc>
          <w:tcPr>
            <w:tcW w:w="0" w:type="auto"/>
            <w:vMerge/>
            <w:tcBorders>
              <w:top w:val="nil"/>
              <w:left w:val="single" w:sz="6" w:space="0" w:color="auto"/>
              <w:bottom w:val="single" w:sz="6" w:space="0" w:color="auto"/>
              <w:right w:val="single" w:sz="6" w:space="0" w:color="auto"/>
            </w:tcBorders>
            <w:vAlign w:val="center"/>
            <w:hideMark/>
          </w:tcPr>
          <w:p w:rsidR="00086B96" w:rsidRPr="00086B96" w:rsidRDefault="00086B96" w:rsidP="00086B96">
            <w:pPr>
              <w:widowControl/>
              <w:wordWrap w:val="0"/>
              <w:spacing w:beforeLines="0" w:before="0" w:line="240" w:lineRule="auto"/>
              <w:ind w:firstLineChars="0" w:firstLine="0"/>
              <w:jc w:val="left"/>
              <w:rPr>
                <w:rFonts w:ascii="宋体!important" w:eastAsia="宋体!important" w:hAnsi="宋体" w:cs="宋体"/>
                <w:b w:val="0"/>
                <w:kern w:val="0"/>
              </w:rPr>
            </w:pPr>
          </w:p>
        </w:tc>
        <w:tc>
          <w:tcPr>
            <w:tcW w:w="0" w:type="auto"/>
            <w:vMerge/>
            <w:tcBorders>
              <w:top w:val="nil"/>
              <w:left w:val="nil"/>
              <w:bottom w:val="single" w:sz="6" w:space="0" w:color="auto"/>
              <w:right w:val="single" w:sz="6" w:space="0" w:color="auto"/>
            </w:tcBorders>
            <w:vAlign w:val="center"/>
            <w:hideMark/>
          </w:tcPr>
          <w:p w:rsidR="00086B96" w:rsidRPr="00086B96" w:rsidRDefault="00086B96" w:rsidP="00086B96">
            <w:pPr>
              <w:widowControl/>
              <w:wordWrap w:val="0"/>
              <w:spacing w:beforeLines="0" w:before="0" w:line="240" w:lineRule="auto"/>
              <w:ind w:firstLineChars="0" w:firstLine="0"/>
              <w:jc w:val="left"/>
              <w:rPr>
                <w:rFonts w:ascii="宋体!important" w:eastAsia="宋体!important" w:hAnsi="宋体" w:cs="宋体"/>
                <w:b w:val="0"/>
                <w:kern w:val="0"/>
              </w:rPr>
            </w:pP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第十三条　建设单位违反本条例第十一条的规定，未提交交通影响评价报告书，或者提交的交通影响评价报告书未经市交通运输管理部门审查同意的，市城市规划管理部门不予核发建设用地规划许可证。</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暂停</w:t>
            </w:r>
          </w:p>
        </w:tc>
      </w:tr>
      <w:tr w:rsidR="00086B96" w:rsidRPr="00086B96" w:rsidTr="00FE7C49">
        <w:tc>
          <w:tcPr>
            <w:tcW w:w="8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center"/>
              <w:rPr>
                <w:rFonts w:ascii="宋体!important" w:eastAsia="宋体!important" w:hAnsi="宋体" w:cs="宋体" w:hint="eastAsia"/>
                <w:b w:val="0"/>
                <w:kern w:val="0"/>
              </w:rPr>
            </w:pPr>
            <w:r w:rsidRPr="00086B96">
              <w:rPr>
                <w:rFonts w:ascii="仿宋_GB2312" w:eastAsia="仿宋_GB2312" w:hAnsi="宋体" w:cs="宋体" w:hint="eastAsia"/>
                <w:b w:val="0"/>
                <w:kern w:val="0"/>
              </w:rPr>
              <w:t>2</w:t>
            </w:r>
          </w:p>
        </w:tc>
        <w:tc>
          <w:tcPr>
            <w:tcW w:w="142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《深圳市实施〈中华人民共和国人民防空法〉办法》</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第十六条第二款　　未取得人民防空工程报建核准文件的，规划部门不得办理建设工程规划许可证，建设部门不得办理建设工程施工许可证。</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暂停</w:t>
            </w:r>
          </w:p>
        </w:tc>
      </w:tr>
      <w:tr w:rsidR="00086B96" w:rsidRPr="00086B96" w:rsidTr="00FE7C49">
        <w:tc>
          <w:tcPr>
            <w:tcW w:w="81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center"/>
              <w:rPr>
                <w:rFonts w:ascii="宋体!important" w:eastAsia="宋体!important" w:hAnsi="宋体" w:cs="宋体" w:hint="eastAsia"/>
                <w:b w:val="0"/>
                <w:kern w:val="0"/>
              </w:rPr>
            </w:pPr>
            <w:r w:rsidRPr="00086B96">
              <w:rPr>
                <w:rFonts w:ascii="仿宋_GB2312" w:eastAsia="仿宋_GB2312" w:hAnsi="宋体" w:cs="宋体" w:hint="eastAsia"/>
                <w:b w:val="0"/>
                <w:kern w:val="0"/>
              </w:rPr>
              <w:t>3</w:t>
            </w:r>
          </w:p>
        </w:tc>
        <w:tc>
          <w:tcPr>
            <w:tcW w:w="1425" w:type="dxa"/>
            <w:vMerge w:val="restart"/>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《深圳经济特区建设项目环境保护条例》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第九条　以招标、拍卖或者挂牌方式出让国有土地使用权的，在招标、拍卖或者挂牌前，国土部门应当按照规定进行环境影响评价。具体办法由市政府另行制定。</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暂停</w:t>
            </w:r>
          </w:p>
        </w:tc>
      </w:tr>
      <w:tr w:rsidR="00086B96" w:rsidRPr="00086B96" w:rsidTr="00FE7C49">
        <w:tc>
          <w:tcPr>
            <w:tcW w:w="0" w:type="auto"/>
            <w:vMerge/>
            <w:tcBorders>
              <w:top w:val="nil"/>
              <w:left w:val="single" w:sz="6" w:space="0" w:color="auto"/>
              <w:bottom w:val="single" w:sz="6" w:space="0" w:color="auto"/>
              <w:right w:val="single" w:sz="6" w:space="0" w:color="auto"/>
            </w:tcBorders>
            <w:vAlign w:val="center"/>
            <w:hideMark/>
          </w:tcPr>
          <w:p w:rsidR="00086B96" w:rsidRPr="00086B96" w:rsidRDefault="00086B96" w:rsidP="00086B96">
            <w:pPr>
              <w:widowControl/>
              <w:wordWrap w:val="0"/>
              <w:spacing w:beforeLines="0" w:before="0" w:line="240" w:lineRule="auto"/>
              <w:ind w:firstLineChars="0" w:firstLine="0"/>
              <w:jc w:val="left"/>
              <w:rPr>
                <w:rFonts w:ascii="宋体!important" w:eastAsia="宋体!important" w:hAnsi="宋体" w:cs="宋体"/>
                <w:b w:val="0"/>
                <w:kern w:val="0"/>
              </w:rPr>
            </w:pPr>
          </w:p>
        </w:tc>
        <w:tc>
          <w:tcPr>
            <w:tcW w:w="0" w:type="auto"/>
            <w:vMerge/>
            <w:tcBorders>
              <w:top w:val="nil"/>
              <w:left w:val="nil"/>
              <w:bottom w:val="single" w:sz="6" w:space="0" w:color="auto"/>
              <w:right w:val="single" w:sz="6" w:space="0" w:color="auto"/>
            </w:tcBorders>
            <w:vAlign w:val="center"/>
            <w:hideMark/>
          </w:tcPr>
          <w:p w:rsidR="00086B96" w:rsidRPr="00086B96" w:rsidRDefault="00086B96" w:rsidP="00086B96">
            <w:pPr>
              <w:widowControl/>
              <w:wordWrap w:val="0"/>
              <w:spacing w:beforeLines="0" w:before="0" w:line="240" w:lineRule="auto"/>
              <w:ind w:firstLineChars="0" w:firstLine="0"/>
              <w:jc w:val="left"/>
              <w:rPr>
                <w:rFonts w:ascii="宋体!important" w:eastAsia="宋体!important" w:hAnsi="宋体" w:cs="宋体"/>
                <w:b w:val="0"/>
                <w:kern w:val="0"/>
              </w:rPr>
            </w:pP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第十二条第二款</w:t>
            </w:r>
            <w:r w:rsidRPr="00086B96">
              <w:rPr>
                <w:rFonts w:ascii="仿宋_GB2312" w:eastAsia="仿宋_GB2312" w:hAnsi="宋体" w:cs="宋体" w:hint="eastAsia"/>
                <w:b w:val="0"/>
                <w:kern w:val="0"/>
              </w:rPr>
              <w:t> </w:t>
            </w:r>
            <w:r w:rsidRPr="00086B96">
              <w:rPr>
                <w:rFonts w:ascii="仿宋_GB2312" w:eastAsia="仿宋_GB2312" w:hAnsi="宋体" w:cs="宋体" w:hint="eastAsia"/>
                <w:b w:val="0"/>
                <w:kern w:val="0"/>
              </w:rPr>
              <w:t xml:space="preserve"> 政府投资或者经政府核准、备案的房建类和市政类建设项目，还应当提交发展改革部门出具的立项意见和规划部门出具的建设项目选址意见；拍卖所得土地，应当提交土地权属证明文件。</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暂停</w:t>
            </w:r>
          </w:p>
        </w:tc>
      </w:tr>
      <w:tr w:rsidR="00086B96" w:rsidRPr="00086B96" w:rsidTr="00FE7C49">
        <w:tc>
          <w:tcPr>
            <w:tcW w:w="81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center"/>
              <w:rPr>
                <w:rFonts w:ascii="宋体!important" w:eastAsia="宋体!important" w:hAnsi="宋体" w:cs="宋体" w:hint="eastAsia"/>
                <w:b w:val="0"/>
                <w:kern w:val="0"/>
              </w:rPr>
            </w:pPr>
            <w:r w:rsidRPr="00086B96">
              <w:rPr>
                <w:rFonts w:ascii="仿宋_GB2312" w:eastAsia="仿宋_GB2312" w:hAnsi="宋体" w:cs="宋体" w:hint="eastAsia"/>
                <w:b w:val="0"/>
                <w:kern w:val="0"/>
              </w:rPr>
              <w:t>4</w:t>
            </w:r>
          </w:p>
        </w:tc>
        <w:tc>
          <w:tcPr>
            <w:tcW w:w="142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《深圳市建设工程质量管理条例》</w:t>
            </w:r>
          </w:p>
        </w:tc>
        <w:tc>
          <w:tcPr>
            <w:tcW w:w="38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第十九条　建设单位在与工程承包单位签订工程承包合同前，应当向工程承包单位提供由金融、保险或者担保机构出具的工程款支付担保。未提供工程款支付担保的工程，不予核发施工许可证。</w:t>
            </w:r>
          </w:p>
        </w:tc>
        <w:tc>
          <w:tcPr>
            <w:tcW w:w="2625" w:type="dxa"/>
            <w:tcBorders>
              <w:top w:val="nil"/>
              <w:left w:val="nil"/>
              <w:bottom w:val="single" w:sz="6" w:space="0" w:color="auto"/>
              <w:right w:val="single" w:sz="6" w:space="0" w:color="auto"/>
            </w:tcBorders>
            <w:noWrap/>
            <w:tcMar>
              <w:top w:w="0" w:type="dxa"/>
              <w:left w:w="105" w:type="dxa"/>
              <w:bottom w:w="0" w:type="dxa"/>
              <w:right w:w="105" w:type="dxa"/>
            </w:tcMar>
            <w:hideMark/>
          </w:tcPr>
          <w:p w:rsidR="00086B96" w:rsidRPr="00086B96" w:rsidRDefault="00086B96" w:rsidP="00086B96">
            <w:pPr>
              <w:widowControl/>
              <w:wordWrap w:val="0"/>
              <w:spacing w:beforeLines="0" w:before="100" w:beforeAutospacing="1" w:after="100" w:afterAutospacing="1" w:line="360" w:lineRule="atLeast"/>
              <w:ind w:firstLineChars="0" w:firstLine="0"/>
              <w:jc w:val="left"/>
              <w:rPr>
                <w:rFonts w:ascii="宋体!important" w:eastAsia="宋体!important" w:hAnsi="宋体" w:cs="宋体" w:hint="eastAsia"/>
                <w:b w:val="0"/>
                <w:kern w:val="0"/>
              </w:rPr>
            </w:pPr>
            <w:r w:rsidRPr="00086B96">
              <w:rPr>
                <w:rFonts w:ascii="仿宋_GB2312" w:eastAsia="仿宋_GB2312" w:hAnsi="宋体" w:cs="宋体" w:hint="eastAsia"/>
                <w:b w:val="0"/>
                <w:kern w:val="0"/>
              </w:rPr>
              <w:t>暂停</w:t>
            </w:r>
          </w:p>
        </w:tc>
      </w:tr>
    </w:tbl>
    <w:p w:rsidR="00197FE2" w:rsidRDefault="00086B96" w:rsidP="00086B96">
      <w:pPr>
        <w:widowControl/>
        <w:spacing w:beforeLines="0" w:before="156" w:beforeAutospacing="1" w:after="100" w:afterAutospacing="1" w:line="450" w:lineRule="atLeast"/>
        <w:ind w:firstLineChars="0" w:firstLine="422"/>
      </w:pPr>
      <w:r w:rsidRPr="00086B96">
        <w:rPr>
          <w:rFonts w:ascii="宋体!important" w:eastAsia="宋体!important" w:hAnsi="宋体" w:cs="宋体" w:hint="eastAsia"/>
          <w:b w:val="0"/>
          <w:color w:val="333333"/>
          <w:kern w:val="0"/>
          <w:sz w:val="21"/>
          <w:szCs w:val="21"/>
        </w:rPr>
        <w:t> </w:t>
      </w:r>
    </w:p>
    <w:sectPr w:rsidR="00197FE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C3B" w:rsidRDefault="00A55C3B" w:rsidP="00086B96">
      <w:pPr>
        <w:spacing w:before="120" w:line="240" w:lineRule="auto"/>
        <w:ind w:firstLine="482"/>
      </w:pPr>
      <w:r>
        <w:separator/>
      </w:r>
    </w:p>
  </w:endnote>
  <w:endnote w:type="continuationSeparator" w:id="0">
    <w:p w:rsidR="00A55C3B" w:rsidRDefault="00A55C3B" w:rsidP="00086B96">
      <w:pPr>
        <w:spacing w:before="120" w:line="240" w:lineRule="auto"/>
        <w:ind w:firstLine="4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96" w:rsidRDefault="00086B96">
    <w:pPr>
      <w:pStyle w:val="a5"/>
      <w:spacing w:before="120"/>
      <w:ind w:firstLine="36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486408"/>
      <w:docPartObj>
        <w:docPartGallery w:val="Page Numbers (Bottom of Page)"/>
        <w:docPartUnique/>
      </w:docPartObj>
    </w:sdtPr>
    <w:sdtContent>
      <w:p w:rsidR="00086B96" w:rsidRDefault="00086B96">
        <w:pPr>
          <w:pStyle w:val="a5"/>
          <w:spacing w:before="120"/>
          <w:ind w:firstLine="361"/>
          <w:jc w:val="center"/>
        </w:pPr>
        <w:r>
          <w:fldChar w:fldCharType="begin"/>
        </w:r>
        <w:r>
          <w:instrText>PAGE   \* MERGEFORMAT</w:instrText>
        </w:r>
        <w:r>
          <w:fldChar w:fldCharType="separate"/>
        </w:r>
        <w:r w:rsidRPr="00086B96">
          <w:rPr>
            <w:noProof/>
            <w:lang w:val="zh-CN"/>
          </w:rPr>
          <w:t>1</w:t>
        </w:r>
        <w:r>
          <w:fldChar w:fldCharType="end"/>
        </w:r>
      </w:p>
    </w:sdtContent>
  </w:sdt>
  <w:p w:rsidR="00086B96" w:rsidRDefault="00086B96">
    <w:pPr>
      <w:pStyle w:val="a5"/>
      <w:spacing w:before="120"/>
      <w:ind w:firstLine="36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96" w:rsidRDefault="00086B96">
    <w:pPr>
      <w:pStyle w:val="a5"/>
      <w:spacing w:before="120"/>
      <w:ind w:firstLine="3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C3B" w:rsidRDefault="00A55C3B" w:rsidP="00086B96">
      <w:pPr>
        <w:spacing w:before="120" w:line="240" w:lineRule="auto"/>
        <w:ind w:firstLine="482"/>
      </w:pPr>
      <w:r>
        <w:separator/>
      </w:r>
    </w:p>
  </w:footnote>
  <w:footnote w:type="continuationSeparator" w:id="0">
    <w:p w:rsidR="00A55C3B" w:rsidRDefault="00A55C3B" w:rsidP="00086B96">
      <w:pPr>
        <w:spacing w:before="120" w:line="240" w:lineRule="auto"/>
        <w:ind w:firstLine="4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96" w:rsidRDefault="00086B96">
    <w:pPr>
      <w:pStyle w:val="a3"/>
      <w:spacing w:before="120"/>
      <w:ind w:firstLine="36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96" w:rsidRDefault="00086B96" w:rsidP="00086B96">
    <w:pPr>
      <w:pStyle w:val="a3"/>
      <w:pBdr>
        <w:bottom w:val="none" w:sz="0" w:space="0" w:color="auto"/>
      </w:pBdr>
      <w:spacing w:before="120"/>
      <w:ind w:firstLine="36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96" w:rsidRDefault="00086B96">
    <w:pPr>
      <w:pStyle w:val="a3"/>
      <w:spacing w:before="120"/>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96"/>
    <w:rsid w:val="00086B96"/>
    <w:rsid w:val="00197FE2"/>
    <w:rsid w:val="002E0846"/>
    <w:rsid w:val="003B5CEF"/>
    <w:rsid w:val="00A5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1445B-C867-4ECC-B9C5-4A601018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0846"/>
    <w:pPr>
      <w:widowControl w:val="0"/>
      <w:spacing w:beforeLines="50" w:before="50" w:line="360" w:lineRule="auto"/>
      <w:ind w:firstLineChars="200" w:firstLine="200"/>
      <w:jc w:val="both"/>
    </w:pPr>
    <w:rPr>
      <w:rFonts w:ascii="Times New Roman" w:eastAsia="仿宋"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B9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086B96"/>
    <w:rPr>
      <w:rFonts w:ascii="Times New Roman" w:eastAsia="仿宋" w:hAnsi="Times New Roman" w:cs="Times New Roman"/>
      <w:b/>
      <w:sz w:val="18"/>
      <w:szCs w:val="18"/>
    </w:rPr>
  </w:style>
  <w:style w:type="paragraph" w:styleId="a5">
    <w:name w:val="footer"/>
    <w:basedOn w:val="a"/>
    <w:link w:val="a6"/>
    <w:uiPriority w:val="99"/>
    <w:unhideWhenUsed/>
    <w:rsid w:val="00086B96"/>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086B96"/>
    <w:rPr>
      <w:rFonts w:ascii="Times New Roman" w:eastAsia="仿宋"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李登峰律师团队 锦天城</dc:creator>
  <cp:keywords/>
  <dc:description/>
  <cp:lastModifiedBy>李登峰律师团队 锦天城</cp:lastModifiedBy>
  <cp:revision>1</cp:revision>
  <dcterms:created xsi:type="dcterms:W3CDTF">2018-07-12T03:48:00Z</dcterms:created>
  <dcterms:modified xsi:type="dcterms:W3CDTF">2018-07-12T03:50:00Z</dcterms:modified>
</cp:coreProperties>
</file>